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widowControl/>
        <w:suppressLineNumbers w:val="0"/>
        <w:spacing w:before="0" w:beforeAutospacing="1" w:after="0" w:afterAutospacing="1"/>
        <w:ind w:left="198" w:right="0"/>
        <w:jc w:val="center"/>
        <w:rPr>
          <w:rFonts w:hint="default" w:ascii="方正小标宋简体" w:hAnsi="方正小标宋简体" w:eastAsia="方正小标宋简体" w:cs="方正小标宋简体"/>
          <w:kern w:val="0"/>
          <w:sz w:val="44"/>
          <w:szCs w:val="44"/>
        </w:rPr>
      </w:pPr>
    </w:p>
    <w:p>
      <w:pPr>
        <w:keepNext/>
        <w:keepLines w:val="0"/>
        <w:widowControl/>
        <w:suppressLineNumbers w:val="0"/>
        <w:spacing w:before="0" w:beforeAutospacing="1" w:after="0" w:afterAutospacing="1"/>
        <w:ind w:left="198" w:right="0"/>
        <w:jc w:val="center"/>
        <w:rPr>
          <w:rFonts w:hint="default" w:ascii="方正小标宋简体" w:hAnsi="方正小标宋简体" w:eastAsia="方正小标宋简体" w:cs="方正小标宋简体"/>
          <w:kern w:val="0"/>
          <w:sz w:val="44"/>
          <w:szCs w:val="44"/>
        </w:rPr>
      </w:pPr>
    </w:p>
    <w:p>
      <w:pPr>
        <w:keepNext/>
        <w:keepLines w:val="0"/>
        <w:widowControl/>
        <w:suppressLineNumbers w:val="0"/>
        <w:spacing w:before="0" w:beforeAutospacing="1" w:after="0" w:afterAutospacing="1"/>
        <w:ind w:left="198" w:right="0"/>
        <w:jc w:val="center"/>
        <w:rPr>
          <w:rFonts w:hint="default" w:ascii="方正小标宋简体" w:hAnsi="方正小标宋简体" w:eastAsia="方正小标宋简体" w:cs="方正小标宋简体"/>
          <w:kern w:val="0"/>
          <w:sz w:val="44"/>
          <w:szCs w:val="44"/>
        </w:rPr>
      </w:pPr>
    </w:p>
    <w:p>
      <w:pPr>
        <w:keepNext/>
        <w:keepLines w:val="0"/>
        <w:widowControl/>
        <w:suppressLineNumbers w:val="0"/>
        <w:spacing w:before="0" w:beforeAutospacing="1" w:after="0" w:afterAutospacing="1"/>
        <w:ind w:left="198" w:right="0"/>
        <w:jc w:val="center"/>
        <w:rPr>
          <w:rFonts w:hint="default" w:ascii="方正小标宋简体" w:hAnsi="方正小标宋简体" w:eastAsia="方正小标宋简体" w:cs="方正小标宋简体"/>
          <w:kern w:val="0"/>
          <w:sz w:val="44"/>
          <w:szCs w:val="44"/>
        </w:rPr>
      </w:pPr>
    </w:p>
    <w:p>
      <w:pPr>
        <w:keepNext/>
        <w:keepLines w:val="0"/>
        <w:widowControl/>
        <w:suppressLineNumbers w:val="0"/>
        <w:spacing w:before="0" w:beforeAutospacing="1" w:after="0" w:afterAutospacing="1"/>
        <w:ind w:left="198" w:right="0"/>
        <w:jc w:val="center"/>
        <w:rPr>
          <w:rFonts w:hint="eastAsia" w:ascii="宋体" w:hAnsi="宋体" w:eastAsia="宋体" w:cs="宋体"/>
          <w:kern w:val="0"/>
          <w:sz w:val="24"/>
          <w:szCs w:val="24"/>
        </w:rPr>
      </w:pPr>
      <w:r>
        <w:rPr>
          <w:rFonts w:hint="default" w:ascii="方正小标宋简体" w:hAnsi="方正小标宋简体" w:eastAsia="方正小标宋简体" w:cs="方正小标宋简体"/>
          <w:kern w:val="0"/>
          <w:sz w:val="44"/>
          <w:szCs w:val="44"/>
        </w:rPr>
        <w:t>2022年度</w:t>
      </w:r>
      <w:r>
        <w:rPr>
          <w:rFonts w:hint="eastAsia" w:ascii="方正小标宋简体" w:hAnsi="方正小标宋简体" w:eastAsia="方正小标宋简体" w:cs="方正小标宋简体"/>
          <w:kern w:val="0"/>
          <w:sz w:val="44"/>
          <w:szCs w:val="44"/>
          <w:lang w:eastAsia="zh-CN"/>
        </w:rPr>
        <w:t>赤峰市</w:t>
      </w:r>
      <w:r>
        <w:rPr>
          <w:rFonts w:hint="default" w:ascii="方正小标宋简体" w:hAnsi="方正小标宋简体" w:eastAsia="方正小标宋简体" w:cs="方正小标宋简体"/>
          <w:kern w:val="0"/>
          <w:sz w:val="44"/>
          <w:szCs w:val="44"/>
        </w:rPr>
        <w:t>元宝山区人民检察院部门决算公开</w:t>
      </w:r>
    </w:p>
    <w:p>
      <w:pPr>
        <w:keepNext w:val="0"/>
        <w:keepLines w:val="0"/>
        <w:widowControl/>
        <w:suppressLineNumbers w:val="0"/>
        <w:spacing w:before="0" w:beforeAutospacing="1" w:after="0" w:afterAutospacing="1"/>
        <w:ind w:left="0" w:right="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rPr>
      </w:pPr>
      <w:r>
        <w:rPr>
          <w:rFonts w:hint="eastAsia" w:ascii="黑体" w:hAnsi="宋体" w:eastAsia="黑体" w:cs="黑体"/>
          <w:kern w:val="0"/>
          <w:sz w:val="32"/>
          <w:szCs w:val="32"/>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rPr>
      </w:pPr>
      <w:r>
        <w:rPr>
          <w:rFonts w:hint="eastAsia" w:ascii="宋体" w:hAnsi="宋体" w:eastAsia="宋体" w:cs="宋体"/>
          <w:color w:val="0000FF"/>
          <w:kern w:val="0"/>
          <w:sz w:val="32"/>
          <w:szCs w:val="32"/>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rPr>
      </w:pPr>
      <w:r>
        <w:rPr>
          <w:rFonts w:hint="eastAsia" w:ascii="宋体" w:hAnsi="宋体" w:eastAsia="宋体" w:cs="宋体"/>
          <w:color w:val="0000FF"/>
          <w:kern w:val="0"/>
          <w:sz w:val="32"/>
          <w:szCs w:val="32"/>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rPr>
      </w:pPr>
      <w:r>
        <w:rPr>
          <w:rFonts w:hint="eastAsia" w:ascii="宋体" w:hAnsi="宋体" w:eastAsia="宋体" w:cs="宋体"/>
          <w:color w:val="0000FF"/>
          <w:kern w:val="0"/>
          <w:sz w:val="32"/>
          <w:szCs w:val="32"/>
        </w:rPr>
        <w:t xml:space="preserve"> </w:t>
      </w:r>
    </w:p>
    <w:p>
      <w:pPr>
        <w:keepNext w:val="0"/>
        <w:keepLines w:val="0"/>
        <w:widowControl/>
        <w:suppressLineNumbers w:val="0"/>
        <w:spacing w:before="3" w:beforeAutospacing="0" w:after="120" w:afterAutospacing="0"/>
        <w:ind w:left="0" w:right="0" w:firstLine="200"/>
        <w:jc w:val="both"/>
        <w:rPr>
          <w:rFonts w:hint="eastAsia" w:ascii="宋体" w:hAnsi="宋体" w:eastAsia="宋体" w:cs="宋体"/>
          <w:kern w:val="0"/>
          <w:sz w:val="24"/>
          <w:szCs w:val="24"/>
        </w:rPr>
      </w:pPr>
      <w:r>
        <w:rPr>
          <w:rFonts w:hint="default" w:ascii="Times New Roman" w:hAnsi="Times New Roman" w:eastAsia="宋体" w:cs="Times New Roman"/>
          <w:kern w:val="0"/>
          <w:sz w:val="10"/>
          <w:szCs w:val="10"/>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48"/>
          <w:szCs w:val="48"/>
        </w:rPr>
      </w:pPr>
      <w:r>
        <w:rPr>
          <w:rFonts w:hint="eastAsia" w:ascii="宋体" w:hAnsi="宋体" w:eastAsia="宋体" w:cs="宋体"/>
          <w:b/>
          <w:bCs/>
          <w:kern w:val="0"/>
          <w:sz w:val="48"/>
          <w:szCs w:val="48"/>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48"/>
          <w:szCs w:val="48"/>
        </w:rPr>
        <w:t>目</w:t>
      </w:r>
      <w:r>
        <w:rPr>
          <w:rFonts w:hint="default" w:ascii="Times New Roman" w:hAnsi="Times New Roman" w:eastAsia="宋体" w:cs="Times New Roman"/>
          <w:b/>
          <w:bCs/>
          <w:kern w:val="0"/>
          <w:sz w:val="48"/>
          <w:szCs w:val="48"/>
        </w:rPr>
        <w:t xml:space="preserve">  </w:t>
      </w:r>
      <w:r>
        <w:rPr>
          <w:rFonts w:hint="eastAsia" w:ascii="宋体" w:hAnsi="宋体" w:eastAsia="宋体" w:cs="宋体"/>
          <w:b/>
          <w:bCs/>
          <w:kern w:val="0"/>
          <w:sz w:val="48"/>
          <w:szCs w:val="48"/>
        </w:rPr>
        <w:t>录</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黑体" w:hAnsi="宋体" w:eastAsia="黑体" w:cs="黑体"/>
          <w:kern w:val="0"/>
          <w:sz w:val="32"/>
          <w:szCs w:val="32"/>
        </w:rPr>
        <w:t>第一部分 部门概况</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一、主要职能、职责</w:t>
      </w:r>
    </w:p>
    <w:p>
      <w:pPr>
        <w:keepNext w:val="0"/>
        <w:keepLines w:val="0"/>
        <w:widowControl/>
        <w:suppressLineNumbers w:val="0"/>
        <w:spacing w:before="6" w:beforeAutospacing="0" w:after="120" w:afterAutospacing="0"/>
        <w:ind w:left="0" w:right="1670"/>
        <w:jc w:val="both"/>
        <w:rPr>
          <w:rFonts w:hint="eastAsia" w:ascii="宋体" w:hAnsi="宋体" w:eastAsia="宋体" w:cs="宋体"/>
          <w:kern w:val="0"/>
          <w:sz w:val="24"/>
          <w:szCs w:val="24"/>
        </w:rPr>
      </w:pPr>
      <w:r>
        <w:rPr>
          <w:rFonts w:hint="eastAsia" w:ascii="宋体" w:hAnsi="宋体" w:eastAsia="宋体" w:cs="宋体"/>
          <w:kern w:val="0"/>
          <w:sz w:val="32"/>
          <w:szCs w:val="32"/>
        </w:rPr>
        <w:t>二、部门机构设置及决算单位构成情况</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黑体" w:hAnsi="宋体" w:eastAsia="黑体" w:cs="黑体"/>
          <w:kern w:val="0"/>
          <w:sz w:val="32"/>
          <w:szCs w:val="32"/>
        </w:rPr>
        <w:t>第二部分 2022年度部门决算情况说明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一、收入支出决算总体情况说明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二、收入决算情况说明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三、支出决算情况说明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四、财政拨款收入支出决算总体情况说明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五、一般公共预算支出决算情况说明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六、一般公共预算基本支出决算情况说明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七、一般公共预算项目支出决算情况说明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八、财政拨款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九、政府性基金预算财政拨款支出决算情况说明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十、国有资本经营预算财政拨款支出决算情况说明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十一、项目支出决算情况说明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十二、机构运行经费支出决算情况说明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十三、政府采购支出决算情况说明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十四、国有资产占用情况说明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十五、预算绩效情况说明</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黑体" w:hAnsi="宋体" w:eastAsia="黑体" w:cs="黑体"/>
          <w:kern w:val="0"/>
          <w:sz w:val="32"/>
          <w:szCs w:val="32"/>
        </w:rPr>
        <w:t>第三部分 名词解释</w:t>
      </w:r>
    </w:p>
    <w:p>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eastAsia" w:ascii="黑体" w:hAnsi="宋体" w:eastAsia="黑体" w:cs="黑体"/>
          <w:kern w:val="0"/>
          <w:sz w:val="32"/>
          <w:szCs w:val="32"/>
        </w:rPr>
        <w:t>第四部分 决算公开联系方式及信息反馈渠道</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黑体" w:hAnsi="宋体" w:eastAsia="黑体" w:cs="黑体"/>
          <w:kern w:val="0"/>
          <w:sz w:val="32"/>
          <w:szCs w:val="32"/>
        </w:rPr>
        <w:t>第五部分 2022年度部门决算表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二、收入决算表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三、支出决算表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五、项目收入支出决算表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六、一般公共预算财政拨款支出决算表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32"/>
          <w:szCs w:val="32"/>
        </w:rPr>
        <w:t>七、一般公共预算财政拨款基本支出决算明细表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八、一般公共预算财政拨款项目支出决算明细表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九、政府性基金预算财政拨款收入支出决算表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十、国有资本经营预算财政拨款支出决算表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十一、财政拨款</w:t>
      </w:r>
      <w:r>
        <w:rPr>
          <w:rFonts w:hint="default" w:ascii="Times New Roman" w:hAnsi="Times New Roman" w:eastAsia="宋体" w:cs="Times New Roman"/>
          <w:color w:val="000000"/>
          <w:kern w:val="0"/>
          <w:sz w:val="32"/>
          <w:szCs w:val="32"/>
        </w:rPr>
        <w:t>“</w:t>
      </w:r>
      <w:r>
        <w:rPr>
          <w:rFonts w:hint="eastAsia" w:ascii="宋体" w:hAnsi="宋体" w:eastAsia="宋体" w:cs="宋体"/>
          <w:color w:val="000000"/>
          <w:kern w:val="0"/>
          <w:sz w:val="32"/>
          <w:szCs w:val="32"/>
        </w:rPr>
        <w:t>三公</w:t>
      </w:r>
      <w:r>
        <w:rPr>
          <w:rFonts w:hint="default" w:ascii="Times New Roman" w:hAnsi="Times New Roman" w:eastAsia="宋体" w:cs="Times New Roman"/>
          <w:color w:val="000000"/>
          <w:kern w:val="0"/>
          <w:sz w:val="32"/>
          <w:szCs w:val="32"/>
        </w:rPr>
        <w:t>”</w:t>
      </w:r>
      <w:r>
        <w:rPr>
          <w:rFonts w:hint="eastAsia" w:ascii="宋体" w:hAnsi="宋体" w:eastAsia="宋体" w:cs="宋体"/>
          <w:color w:val="000000"/>
          <w:kern w:val="0"/>
          <w:sz w:val="32"/>
          <w:szCs w:val="32"/>
        </w:rPr>
        <w:t>经费支出决算表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十二、机构运行经费支出、国有资产占用情况及政府采购支出信息表</w:t>
      </w:r>
    </w:p>
    <w:p>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pStyle w:val="3"/>
        <w:keepNext/>
        <w:keepLines w:val="0"/>
        <w:widowControl/>
        <w:suppressLineNumbers w:val="0"/>
        <w:spacing w:line="600" w:lineRule="atLeast"/>
        <w:jc w:val="center"/>
        <w:rPr>
          <w:rFonts w:hint="eastAsia" w:ascii="宋体" w:hAnsi="宋体" w:eastAsia="宋体" w:cs="宋体"/>
          <w:b/>
          <w:bCs/>
          <w:kern w:val="0"/>
          <w:sz w:val="36"/>
          <w:szCs w:val="36"/>
        </w:rPr>
      </w:pPr>
      <w:r>
        <w:rPr>
          <w:rFonts w:hint="default" w:ascii="方正小标宋简体" w:hAnsi="方正小标宋简体" w:eastAsia="方正小标宋简体" w:cs="方正小标宋简体"/>
          <w:b/>
          <w:bCs/>
          <w:kern w:val="0"/>
          <w:sz w:val="36"/>
          <w:szCs w:val="36"/>
        </w:rPr>
        <w:t>第一部分  部门概况</w:t>
      </w:r>
    </w:p>
    <w:p>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rPr>
      </w:pPr>
      <w:r>
        <w:rPr>
          <w:rFonts w:hint="eastAsia" w:ascii="黑体" w:hAnsi="宋体" w:eastAsia="黑体" w:cs="黑体"/>
          <w:b/>
          <w:bCs/>
          <w:kern w:val="0"/>
          <w:sz w:val="32"/>
          <w:szCs w:val="32"/>
        </w:rPr>
        <w:t>一、主要职能、职责</w:t>
      </w:r>
    </w:p>
    <w:p>
      <w:pPr>
        <w:keepNext w:val="0"/>
        <w:keepLines w:val="0"/>
        <w:widowControl/>
        <w:suppressLineNumbers w:val="0"/>
        <w:autoSpaceDE w:val="0"/>
        <w:autoSpaceDN w:val="0"/>
        <w:spacing w:line="580" w:lineRule="exact"/>
        <w:ind w:left="0" w:firstLine="640" w:firstLineChars="200"/>
        <w:rPr>
          <w:rFonts w:hint="default" w:ascii="仿宋_GB2312" w:hAnsi="宋体" w:eastAsia="仿宋_GB2312" w:cs="Times New Roman"/>
          <w:color w:val="000000"/>
          <w:kern w:val="0"/>
          <w:sz w:val="32"/>
          <w:szCs w:val="32"/>
        </w:rPr>
      </w:pPr>
      <w:r>
        <w:rPr>
          <w:rFonts w:hint="default" w:ascii="仿宋_GB2312" w:hAnsi="宋体" w:eastAsia="仿宋_GB2312" w:cs="仿宋_GB2312"/>
          <w:color w:val="000000"/>
          <w:kern w:val="0"/>
          <w:sz w:val="32"/>
          <w:szCs w:val="32"/>
        </w:rPr>
        <w:t>检察机关的主要职责是法律监督。其中包括：依法对刑事诉讼、民事审判和行政诉讼实行法律监督工作；依法对执行机关执行罪罚的活动是否合法实施监督；对法院已经发生法律效力、确有错误的判决和裁定，依法提请抗诉。</w:t>
      </w:r>
    </w:p>
    <w:p>
      <w:pPr>
        <w:keepNext w:val="0"/>
        <w:keepLines w:val="0"/>
        <w:widowControl/>
        <w:suppressLineNumbers w:val="0"/>
        <w:spacing w:before="0" w:beforeAutospacing="1" w:after="0" w:afterAutospacing="1" w:line="60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line="600" w:lineRule="atLeast"/>
        <w:ind w:left="424" w:right="0" w:firstLine="212"/>
        <w:jc w:val="both"/>
        <w:rPr>
          <w:rFonts w:hint="eastAsia" w:ascii="宋体" w:hAnsi="宋体" w:eastAsia="宋体" w:cs="宋体"/>
          <w:kern w:val="0"/>
          <w:sz w:val="24"/>
          <w:szCs w:val="24"/>
        </w:rPr>
      </w:pPr>
      <w:r>
        <w:rPr>
          <w:rFonts w:hint="eastAsia" w:ascii="黑体" w:hAnsi="宋体" w:eastAsia="黑体" w:cs="黑体"/>
          <w:b/>
          <w:bCs/>
          <w:kern w:val="0"/>
          <w:sz w:val="32"/>
          <w:szCs w:val="32"/>
        </w:rPr>
        <w:t>二、部门机构设置及决算单位构成情况</w:t>
      </w:r>
    </w:p>
    <w:p>
      <w:pPr>
        <w:keepNext w:val="0"/>
        <w:keepLines w:val="0"/>
        <w:widowControl/>
        <w:suppressLineNumbers w:val="0"/>
        <w:spacing w:before="0" w:beforeAutospacing="1" w:after="0" w:afterAutospacing="1" w:line="360" w:lineRule="auto"/>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根据部门职责分工，本部门内设机构包括五个部门。本部门下属单位包括：本部门无下属单位。</w:t>
      </w:r>
    </w:p>
    <w:p>
      <w:pPr>
        <w:keepNext w:val="0"/>
        <w:keepLines w:val="0"/>
        <w:widowControl/>
        <w:suppressLineNumbers w:val="0"/>
        <w:spacing w:before="0" w:beforeAutospacing="1" w:after="0" w:afterAutospacing="1" w:line="360" w:lineRule="auto"/>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从决算单位构成看，纳入本部门2022年部门汇总决算编制范围的预算单位共计</w:t>
      </w:r>
      <w:r>
        <w:rPr>
          <w:rFonts w:hint="eastAsia" w:cs="宋体"/>
          <w:kern w:val="0"/>
          <w:sz w:val="32"/>
          <w:szCs w:val="32"/>
          <w:lang w:val="en-US" w:eastAsia="zh-CN"/>
        </w:rPr>
        <w:t>1</w:t>
      </w:r>
      <w:r>
        <w:rPr>
          <w:rFonts w:hint="eastAsia" w:ascii="宋体" w:hAnsi="宋体" w:eastAsia="宋体" w:cs="宋体"/>
          <w:kern w:val="0"/>
          <w:sz w:val="32"/>
          <w:szCs w:val="32"/>
        </w:rPr>
        <w:t>家，具体包括：</w:t>
      </w:r>
      <w:r>
        <w:rPr>
          <w:rFonts w:hint="eastAsia" w:cs="宋体"/>
          <w:kern w:val="0"/>
          <w:sz w:val="32"/>
          <w:szCs w:val="32"/>
          <w:lang w:eastAsia="zh-CN"/>
        </w:rPr>
        <w:t>赤峰市元宝山区人民检察院</w:t>
      </w:r>
      <w:r>
        <w:rPr>
          <w:rFonts w:hint="eastAsia" w:ascii="宋体" w:hAnsi="宋体" w:eastAsia="宋体" w:cs="宋体"/>
          <w:kern w:val="0"/>
          <w:sz w:val="32"/>
          <w:szCs w:val="32"/>
        </w:rPr>
        <w:t>部门本级。</w:t>
      </w:r>
    </w:p>
    <w:tbl>
      <w:tblPr>
        <w:tblStyle w:val="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2"/>
        <w:gridCol w:w="3260"/>
        <w:gridCol w:w="4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color w:val="000000"/>
                <w:kern w:val="0"/>
                <w:sz w:val="31"/>
                <w:szCs w:val="31"/>
              </w:rPr>
              <w:t>序号</w:t>
            </w:r>
          </w:p>
        </w:tc>
        <w:tc>
          <w:tcPr>
            <w:tcW w:w="326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color w:val="000000"/>
                <w:kern w:val="0"/>
                <w:sz w:val="31"/>
                <w:szCs w:val="31"/>
              </w:rPr>
              <w:t>单位名称</w:t>
            </w:r>
          </w:p>
        </w:tc>
        <w:tc>
          <w:tcPr>
            <w:tcW w:w="460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color w:val="000000"/>
                <w:kern w:val="0"/>
                <w:sz w:val="31"/>
                <w:szCs w:val="31"/>
              </w:rPr>
              <w:t>单位性质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default" w:ascii="Times New Roman" w:hAnsi="Times New Roman" w:eastAsia="宋体" w:cs="Times New Roman"/>
                <w:color w:val="000000"/>
                <w:kern w:val="0"/>
                <w:sz w:val="31"/>
                <w:szCs w:val="31"/>
              </w:rPr>
              <w:t>1</w:t>
            </w:r>
          </w:p>
        </w:tc>
        <w:tc>
          <w:tcPr>
            <w:tcW w:w="326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赤峰市元宝山区人民检察院</w:t>
            </w: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color w:val="000000"/>
                <w:kern w:val="0"/>
                <w:sz w:val="31"/>
                <w:szCs w:val="31"/>
              </w:rPr>
              <w:t>财政拨款的行政单位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default" w:ascii="Times New Roman" w:hAnsi="Times New Roman" w:eastAsia="宋体" w:cs="Times New Roman"/>
                <w:color w:val="000000"/>
                <w:kern w:val="0"/>
                <w:sz w:val="31"/>
                <w:szCs w:val="31"/>
              </w:rPr>
              <w:t>2</w:t>
            </w:r>
          </w:p>
        </w:tc>
        <w:tc>
          <w:tcPr>
            <w:tcW w:w="326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color w:val="000000"/>
                <w:kern w:val="0"/>
                <w:sz w:val="31"/>
                <w:szCs w:val="31"/>
              </w:rPr>
              <w:t>参照公务员法管理的事业单位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default" w:ascii="Times New Roman" w:hAnsi="Times New Roman" w:eastAsia="宋体" w:cs="Times New Roman"/>
                <w:color w:val="000000"/>
                <w:kern w:val="0"/>
                <w:sz w:val="31"/>
                <w:szCs w:val="31"/>
              </w:rPr>
              <w:t>3</w:t>
            </w:r>
          </w:p>
        </w:tc>
        <w:tc>
          <w:tcPr>
            <w:tcW w:w="326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color w:val="000000"/>
                <w:kern w:val="0"/>
                <w:sz w:val="31"/>
                <w:szCs w:val="31"/>
              </w:rPr>
              <w:t>公益一类事业单位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default" w:ascii="Times New Roman" w:hAnsi="Times New Roman" w:eastAsia="宋体" w:cs="Times New Roman"/>
                <w:color w:val="000000"/>
                <w:kern w:val="0"/>
                <w:sz w:val="31"/>
                <w:szCs w:val="31"/>
              </w:rPr>
              <w:t>4</w:t>
            </w:r>
          </w:p>
        </w:tc>
        <w:tc>
          <w:tcPr>
            <w:tcW w:w="326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color w:val="000000"/>
                <w:kern w:val="0"/>
                <w:sz w:val="31"/>
                <w:szCs w:val="31"/>
              </w:rPr>
              <w:t>公益二类事业单位</w:t>
            </w:r>
          </w:p>
        </w:tc>
      </w:tr>
    </w:tbl>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bookmarkStart w:id="0" w:name="_GoBack"/>
      <w:bookmarkEnd w:id="0"/>
      <w:r>
        <w:rPr>
          <w:rFonts w:hint="eastAsia" w:ascii="黑体" w:hAnsi="宋体" w:eastAsia="黑体" w:cs="黑体"/>
          <w:b/>
          <w:bCs/>
          <w:kern w:val="0"/>
          <w:sz w:val="32"/>
          <w:szCs w:val="32"/>
        </w:rPr>
        <w:t>三、</w:t>
      </w:r>
      <w:r>
        <w:rPr>
          <w:rFonts w:hint="eastAsia" w:ascii="宋体" w:hAnsi="宋体" w:eastAsia="宋体" w:cs="宋体"/>
          <w:b/>
          <w:bCs/>
          <w:kern w:val="0"/>
          <w:sz w:val="32"/>
          <w:szCs w:val="32"/>
        </w:rPr>
        <w:t>2022</w:t>
      </w:r>
      <w:r>
        <w:rPr>
          <w:rFonts w:hint="eastAsia" w:ascii="黑体" w:hAnsi="宋体" w:eastAsia="黑体" w:cs="黑体"/>
          <w:b/>
          <w:bCs/>
          <w:kern w:val="0"/>
          <w:sz w:val="32"/>
          <w:szCs w:val="32"/>
        </w:rPr>
        <w:t>年度部门主要工作完成情况</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keepNext w:val="0"/>
        <w:keepLines w:val="0"/>
        <w:widowControl/>
        <w:suppressLineNumbers w:val="0"/>
        <w:spacing w:line="620" w:lineRule="exact"/>
        <w:ind w:left="0" w:firstLine="640" w:firstLineChars="200"/>
        <w:rPr>
          <w:rFonts w:hint="eastAsia" w:ascii="黑体" w:hAnsi="宋体" w:eastAsia="黑体" w:cs="宋体"/>
          <w:kern w:val="0"/>
          <w:sz w:val="32"/>
          <w:szCs w:val="32"/>
        </w:rPr>
      </w:pPr>
      <w:r>
        <w:rPr>
          <w:rFonts w:hint="default" w:ascii="楷体_GB2312" w:hAnsi="宋体" w:eastAsia="楷体_GB2312" w:cs="宋体"/>
          <w:kern w:val="0"/>
          <w:sz w:val="32"/>
          <w:szCs w:val="32"/>
        </w:rPr>
        <w:t xml:space="preserve">  </w:t>
      </w:r>
      <w:r>
        <w:rPr>
          <w:rFonts w:hint="eastAsia" w:ascii="黑体" w:hAnsi="宋体" w:eastAsia="黑体" w:cs="黑体"/>
          <w:kern w:val="0"/>
          <w:sz w:val="32"/>
          <w:szCs w:val="32"/>
        </w:rPr>
        <w:t>一、</w:t>
      </w:r>
      <w:r>
        <w:rPr>
          <w:rFonts w:hint="eastAsia" w:ascii="黑体" w:hAnsi="宋体" w:eastAsia="黑体" w:cs="黑体"/>
          <w:color w:val="000000"/>
          <w:kern w:val="0"/>
          <w:sz w:val="32"/>
          <w:szCs w:val="32"/>
        </w:rPr>
        <w:t>坚持服务大局</w:t>
      </w:r>
      <w:r>
        <w:rPr>
          <w:rFonts w:hint="eastAsia" w:ascii="黑体" w:hAnsi="宋体" w:eastAsia="黑体" w:cs="黑体"/>
          <w:kern w:val="0"/>
          <w:sz w:val="32"/>
          <w:szCs w:val="32"/>
        </w:rPr>
        <w:t>，以检察担当助力宝山高质量发展</w:t>
      </w:r>
    </w:p>
    <w:p>
      <w:pPr>
        <w:keepNext w:val="0"/>
        <w:keepLines w:val="0"/>
        <w:widowControl/>
        <w:suppressLineNumbers w:val="0"/>
        <w:spacing w:line="620" w:lineRule="exact"/>
        <w:ind w:left="0" w:firstLine="640" w:firstLineChars="200"/>
        <w:rPr>
          <w:rFonts w:hint="default" w:ascii="仿宋_GB2312" w:hAnsi="宋体" w:eastAsia="仿宋_GB2312" w:cs="仿宋_GB2312"/>
          <w:kern w:val="0"/>
          <w:sz w:val="32"/>
          <w:szCs w:val="32"/>
        </w:rPr>
      </w:pPr>
      <w:r>
        <w:rPr>
          <w:rFonts w:hint="default" w:ascii="楷体_GB2312" w:hAnsi="宋体" w:eastAsia="楷体_GB2312" w:cs="楷体_GB2312"/>
          <w:kern w:val="0"/>
          <w:sz w:val="32"/>
          <w:szCs w:val="32"/>
        </w:rPr>
        <w:t>护航平安宝山、法治宝山建设。</w:t>
      </w:r>
      <w:r>
        <w:rPr>
          <w:rFonts w:hint="default" w:ascii="仿宋_GB2312" w:hAnsi="Times New Roman" w:eastAsia="仿宋_GB2312" w:cs="仿宋_GB2312"/>
          <w:kern w:val="0"/>
          <w:sz w:val="32"/>
          <w:szCs w:val="32"/>
        </w:rPr>
        <w:t>全年受理公安机关提请批准逮捕案件</w:t>
      </w:r>
      <w:r>
        <w:rPr>
          <w:rFonts w:hint="default" w:ascii="Times New Roman" w:hAnsi="Times New Roman" w:eastAsia="仿宋_GB2312" w:cs="Times New Roman"/>
          <w:kern w:val="0"/>
          <w:sz w:val="32"/>
          <w:szCs w:val="32"/>
        </w:rPr>
        <w:t>117</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151</w:t>
      </w:r>
      <w:r>
        <w:rPr>
          <w:rFonts w:hint="default" w:ascii="仿宋_GB2312" w:hAnsi="Times New Roman" w:eastAsia="仿宋_GB2312" w:cs="仿宋_GB2312"/>
          <w:kern w:val="0"/>
          <w:sz w:val="32"/>
          <w:szCs w:val="32"/>
        </w:rPr>
        <w:t>人，批准逮捕</w:t>
      </w:r>
      <w:r>
        <w:rPr>
          <w:rFonts w:hint="default" w:ascii="Times New Roman" w:hAnsi="Times New Roman" w:eastAsia="仿宋_GB2312" w:cs="Times New Roman"/>
          <w:kern w:val="0"/>
          <w:sz w:val="32"/>
          <w:szCs w:val="32"/>
        </w:rPr>
        <w:t>64</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78</w:t>
      </w:r>
      <w:r>
        <w:rPr>
          <w:rFonts w:hint="default" w:ascii="仿宋_GB2312" w:hAnsi="Times New Roman" w:eastAsia="仿宋_GB2312" w:cs="仿宋_GB2312"/>
          <w:kern w:val="0"/>
          <w:sz w:val="32"/>
          <w:szCs w:val="32"/>
        </w:rPr>
        <w:t>人。受理审查起诉案件</w:t>
      </w:r>
      <w:r>
        <w:rPr>
          <w:rFonts w:hint="default" w:ascii="Times New Roman" w:hAnsi="Times New Roman" w:eastAsia="仿宋_GB2312" w:cs="Times New Roman"/>
          <w:kern w:val="0"/>
          <w:sz w:val="32"/>
          <w:szCs w:val="32"/>
        </w:rPr>
        <w:t>363</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404</w:t>
      </w:r>
      <w:r>
        <w:rPr>
          <w:rFonts w:hint="default" w:ascii="仿宋_GB2312" w:hAnsi="Times New Roman" w:eastAsia="仿宋_GB2312" w:cs="仿宋_GB2312"/>
          <w:kern w:val="0"/>
          <w:sz w:val="32"/>
          <w:szCs w:val="32"/>
        </w:rPr>
        <w:t>人，提起公诉</w:t>
      </w:r>
      <w:r>
        <w:rPr>
          <w:rFonts w:hint="default" w:ascii="Times New Roman" w:hAnsi="Times New Roman" w:eastAsia="仿宋_GB2312" w:cs="Times New Roman"/>
          <w:kern w:val="0"/>
          <w:sz w:val="32"/>
          <w:szCs w:val="32"/>
        </w:rPr>
        <w:t>249</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288</w:t>
      </w:r>
      <w:r>
        <w:rPr>
          <w:rFonts w:hint="default" w:ascii="仿宋_GB2312" w:hAnsi="Times New Roman" w:eastAsia="仿宋_GB2312" w:cs="仿宋_GB2312"/>
          <w:kern w:val="0"/>
          <w:sz w:val="32"/>
          <w:szCs w:val="32"/>
        </w:rPr>
        <w:t>人。常态化开展扫黑除恶斗争，以落实《反有组织犯罪法》作为总牵引，建立健全涉黑恶犯罪即时打击工作机制。严厉打击妨害社会管理秩序类犯罪，从严批捕涉信访类寻衅滋事犯罪、涉枪犯罪、涉毒犯罪、利用邪教组织破坏法律实施罪</w:t>
      </w:r>
      <w:r>
        <w:rPr>
          <w:rFonts w:hint="default" w:ascii="Times New Roman" w:hAnsi="Times New Roman" w:eastAsia="仿宋_GB2312" w:cs="Times New Roman"/>
          <w:kern w:val="0"/>
          <w:sz w:val="32"/>
          <w:szCs w:val="32"/>
        </w:rPr>
        <w:t>3</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3</w:t>
      </w:r>
      <w:r>
        <w:rPr>
          <w:rFonts w:hint="default" w:ascii="仿宋_GB2312" w:hAnsi="Times New Roman" w:eastAsia="仿宋_GB2312" w:cs="仿宋_GB2312"/>
          <w:kern w:val="0"/>
          <w:sz w:val="32"/>
          <w:szCs w:val="32"/>
        </w:rPr>
        <w:t>人，从</w:t>
      </w:r>
      <w:r>
        <w:rPr>
          <w:rFonts w:hint="default" w:ascii="仿宋_GB2312" w:hAnsi="宋体" w:eastAsia="仿宋_GB2312" w:cs="仿宋_GB2312"/>
          <w:kern w:val="0"/>
          <w:sz w:val="32"/>
          <w:szCs w:val="32"/>
        </w:rPr>
        <w:t>快起</w:t>
      </w:r>
      <w:r>
        <w:rPr>
          <w:rFonts w:hint="default" w:ascii="仿宋_GB2312" w:hAnsi="Times New Roman" w:eastAsia="仿宋_GB2312" w:cs="仿宋_GB2312"/>
          <w:kern w:val="0"/>
          <w:sz w:val="32"/>
          <w:szCs w:val="32"/>
        </w:rPr>
        <w:t>诉</w:t>
      </w:r>
      <w:r>
        <w:rPr>
          <w:rFonts w:hint="default" w:ascii="Times New Roman" w:hAnsi="Times New Roman" w:eastAsia="仿宋_GB2312" w:cs="Times New Roman"/>
          <w:kern w:val="0"/>
          <w:sz w:val="32"/>
          <w:szCs w:val="32"/>
        </w:rPr>
        <w:t>5</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6</w:t>
      </w:r>
      <w:r>
        <w:rPr>
          <w:rFonts w:hint="default" w:ascii="仿宋_GB2312" w:hAnsi="Times New Roman" w:eastAsia="仿宋_GB2312" w:cs="仿宋_GB2312"/>
          <w:kern w:val="0"/>
          <w:sz w:val="32"/>
          <w:szCs w:val="32"/>
        </w:rPr>
        <w:t>人</w:t>
      </w:r>
      <w:r>
        <w:rPr>
          <w:rFonts w:hint="default" w:ascii="仿宋_GB2312" w:hAnsi="宋体" w:eastAsia="仿宋_GB2312" w:cs="仿宋_GB2312"/>
          <w:kern w:val="0"/>
          <w:sz w:val="32"/>
          <w:szCs w:val="32"/>
        </w:rPr>
        <w:t>。严厉打击腐败犯罪，提前介入、引导调查，使案件顺利进入司法程序，</w:t>
      </w:r>
      <w:r>
        <w:rPr>
          <w:rFonts w:hint="default" w:ascii="仿宋_GB2312" w:hAnsi="Times New Roman" w:eastAsia="仿宋_GB2312" w:cs="仿宋_GB2312"/>
          <w:kern w:val="0"/>
          <w:sz w:val="32"/>
          <w:szCs w:val="32"/>
        </w:rPr>
        <w:t>决定逮捕</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人，提起公诉</w:t>
      </w:r>
      <w:r>
        <w:rPr>
          <w:rFonts w:hint="default" w:ascii="Times New Roman" w:hAnsi="Times New Roman" w:eastAsia="仿宋_GB2312" w:cs="Times New Roman"/>
          <w:kern w:val="0"/>
          <w:sz w:val="32"/>
          <w:szCs w:val="32"/>
        </w:rPr>
        <w:t>6</w:t>
      </w:r>
      <w:r>
        <w:rPr>
          <w:rFonts w:hint="default" w:ascii="仿宋_GB2312" w:hAnsi="宋体" w:eastAsia="仿宋_GB2312" w:cs="仿宋_GB2312"/>
          <w:kern w:val="0"/>
          <w:sz w:val="32"/>
          <w:szCs w:val="32"/>
        </w:rPr>
        <w:t>件</w:t>
      </w:r>
      <w:r>
        <w:rPr>
          <w:rFonts w:hint="default" w:ascii="Times New Roman" w:hAnsi="Times New Roman" w:eastAsia="仿宋_GB2312" w:cs="Times New Roman"/>
          <w:kern w:val="0"/>
          <w:sz w:val="32"/>
          <w:szCs w:val="32"/>
        </w:rPr>
        <w:t>6</w:t>
      </w:r>
      <w:r>
        <w:rPr>
          <w:rFonts w:hint="default" w:ascii="仿宋_GB2312" w:hAnsi="宋体" w:eastAsia="仿宋_GB2312" w:cs="仿宋_GB2312"/>
          <w:kern w:val="0"/>
          <w:sz w:val="32"/>
          <w:szCs w:val="32"/>
        </w:rPr>
        <w:t>人。</w:t>
      </w:r>
    </w:p>
    <w:p>
      <w:pPr>
        <w:keepNext w:val="0"/>
        <w:keepLines w:val="0"/>
        <w:widowControl/>
        <w:suppressLineNumbers w:val="0"/>
        <w:spacing w:line="579" w:lineRule="exact"/>
        <w:ind w:left="0" w:firstLine="640" w:firstLineChars="200"/>
        <w:rPr>
          <w:rFonts w:hint="default" w:ascii="Times New Roman" w:hAnsi="Times New Roman" w:eastAsia="仿宋_GB2312" w:cs="宋体"/>
          <w:kern w:val="0"/>
          <w:sz w:val="32"/>
          <w:szCs w:val="32"/>
        </w:rPr>
      </w:pPr>
      <w:r>
        <w:rPr>
          <w:rFonts w:hint="default" w:ascii="楷体_GB2312" w:hAnsi="Times New Roman" w:eastAsia="楷体_GB2312" w:cs="楷体_GB2312"/>
          <w:kern w:val="0"/>
          <w:sz w:val="32"/>
          <w:szCs w:val="32"/>
        </w:rPr>
        <w:t>全力</w:t>
      </w:r>
      <w:r>
        <w:rPr>
          <w:rFonts w:hint="default" w:ascii="楷体_GB2312" w:hAnsi="宋体" w:eastAsia="楷体_GB2312" w:cs="楷体_GB2312"/>
          <w:kern w:val="0"/>
          <w:sz w:val="32"/>
          <w:szCs w:val="32"/>
        </w:rPr>
        <w:t>优化安商暖企法治化</w:t>
      </w:r>
      <w:r>
        <w:rPr>
          <w:rFonts w:hint="default" w:ascii="楷体_GB2312" w:hAnsi="Times New Roman" w:eastAsia="楷体_GB2312" w:cs="楷体_GB2312"/>
          <w:kern w:val="0"/>
          <w:sz w:val="32"/>
          <w:szCs w:val="32"/>
        </w:rPr>
        <w:t>营商环境。</w:t>
      </w:r>
      <w:r>
        <w:rPr>
          <w:rFonts w:hint="default" w:ascii="仿宋_GB2312" w:hAnsi="Times New Roman" w:eastAsia="仿宋_GB2312" w:cs="仿宋_GB2312"/>
          <w:kern w:val="0"/>
          <w:sz w:val="32"/>
          <w:szCs w:val="32"/>
        </w:rPr>
        <w:t>审慎能动办好每一</w:t>
      </w:r>
      <w:r>
        <w:rPr>
          <w:rFonts w:hint="default" w:ascii="仿宋_GB2312" w:hAnsi="宋体" w:eastAsia="仿宋_GB2312" w:cs="仿宋_GB2312"/>
          <w:kern w:val="0"/>
          <w:sz w:val="32"/>
          <w:szCs w:val="32"/>
        </w:rPr>
        <w:t>件</w:t>
      </w:r>
      <w:r>
        <w:rPr>
          <w:rFonts w:hint="default" w:ascii="仿宋_GB2312" w:hAnsi="Times New Roman" w:eastAsia="仿宋_GB2312" w:cs="仿宋_GB2312"/>
          <w:kern w:val="0"/>
          <w:sz w:val="32"/>
          <w:szCs w:val="32"/>
        </w:rPr>
        <w:t>涉企案件，办理涉企民事监督案件</w:t>
      </w:r>
      <w:r>
        <w:rPr>
          <w:rFonts w:hint="default" w:ascii="Times New Roman" w:hAnsi="Times New Roman" w:eastAsia="仿宋_GB2312" w:cs="Times New Roman"/>
          <w:kern w:val="0"/>
          <w:sz w:val="32"/>
          <w:szCs w:val="32"/>
        </w:rPr>
        <w:t>5</w:t>
      </w:r>
      <w:r>
        <w:rPr>
          <w:rFonts w:hint="default" w:ascii="仿宋_GB2312" w:hAnsi="Times New Roman" w:eastAsia="仿宋_GB2312" w:cs="仿宋_GB2312"/>
          <w:kern w:val="0"/>
          <w:sz w:val="32"/>
          <w:szCs w:val="32"/>
        </w:rPr>
        <w:t>件，依法支持企业正当诉求。</w:t>
      </w:r>
      <w:r>
        <w:rPr>
          <w:rFonts w:hint="default" w:ascii="仿宋_GB2312" w:hAnsi="宋体" w:eastAsia="仿宋_GB2312" w:cs="仿宋_GB2312"/>
          <w:kern w:val="0"/>
          <w:sz w:val="32"/>
          <w:szCs w:val="32"/>
        </w:rPr>
        <w:t>对</w:t>
      </w:r>
      <w:r>
        <w:rPr>
          <w:rFonts w:hint="default" w:ascii="Times New Roman" w:hAnsi="Times New Roman" w:eastAsia="仿宋_GB2312" w:cs="Times New Roman"/>
          <w:kern w:val="0"/>
          <w:sz w:val="32"/>
          <w:szCs w:val="32"/>
        </w:rPr>
        <w:t>1</w:t>
      </w:r>
      <w:r>
        <w:rPr>
          <w:rFonts w:hint="default" w:ascii="仿宋_GB2312" w:hAnsi="Times New Roman" w:eastAsia="仿宋_GB2312" w:cs="仿宋_GB2312"/>
          <w:kern w:val="0"/>
          <w:sz w:val="32"/>
          <w:szCs w:val="32"/>
        </w:rPr>
        <w:t>名</w:t>
      </w:r>
      <w:r>
        <w:rPr>
          <w:rFonts w:hint="default" w:ascii="仿宋_GB2312" w:hAnsi="宋体" w:eastAsia="仿宋_GB2312" w:cs="仿宋_GB2312"/>
          <w:kern w:val="0"/>
          <w:sz w:val="32"/>
          <w:szCs w:val="32"/>
        </w:rPr>
        <w:t>涉企刑事犯罪嫌疑人</w:t>
      </w:r>
      <w:r>
        <w:rPr>
          <w:rFonts w:hint="default" w:ascii="仿宋_GB2312" w:hAnsi="Times New Roman" w:eastAsia="仿宋_GB2312" w:cs="仿宋_GB2312"/>
          <w:kern w:val="0"/>
          <w:sz w:val="32"/>
          <w:szCs w:val="32"/>
        </w:rPr>
        <w:t>作出不批捕决定，</w:t>
      </w:r>
      <w:r>
        <w:rPr>
          <w:rFonts w:hint="default" w:ascii="Times New Roman" w:hAnsi="Times New Roman" w:eastAsia="仿宋_GB2312" w:cs="Times New Roman"/>
          <w:kern w:val="0"/>
          <w:sz w:val="32"/>
          <w:szCs w:val="32"/>
        </w:rPr>
        <w:t>1</w:t>
      </w:r>
      <w:r>
        <w:rPr>
          <w:rFonts w:hint="default" w:ascii="仿宋_GB2312" w:hAnsi="Times New Roman" w:eastAsia="仿宋_GB2312" w:cs="仿宋_GB2312"/>
          <w:kern w:val="0"/>
          <w:sz w:val="32"/>
          <w:szCs w:val="32"/>
        </w:rPr>
        <w:t>人</w:t>
      </w:r>
      <w:r>
        <w:rPr>
          <w:rFonts w:hint="default" w:ascii="仿宋_GB2312" w:hAnsi="宋体" w:eastAsia="仿宋_GB2312" w:cs="仿宋_GB2312"/>
          <w:kern w:val="0"/>
          <w:sz w:val="32"/>
          <w:szCs w:val="32"/>
        </w:rPr>
        <w:t>作出不起</w:t>
      </w:r>
      <w:r>
        <w:rPr>
          <w:rFonts w:hint="default" w:ascii="仿宋_GB2312" w:hAnsi="Times New Roman" w:eastAsia="仿宋_GB2312" w:cs="仿宋_GB2312"/>
          <w:kern w:val="0"/>
          <w:sz w:val="32"/>
          <w:szCs w:val="32"/>
        </w:rPr>
        <w:t>诉决定。尝试开展涉案企业合规工作，与相关部门联合推进《关于完善行刑衔接、优化法治化营商环境、促进企业合规协作配合机制》落实，在办理一起企业虚开增值税专用发票案中，根据企业犯罪事实以及认罪悔罪表现，对企业依法作出不起诉决定</w:t>
      </w:r>
      <w:r>
        <w:rPr>
          <w:rFonts w:hint="default" w:ascii="仿宋_GB2312" w:hAnsi="宋体" w:eastAsia="仿宋_GB2312" w:cs="仿宋_GB2312"/>
          <w:kern w:val="0"/>
          <w:sz w:val="32"/>
          <w:szCs w:val="32"/>
        </w:rPr>
        <w:t>的同时，联合税务局就如何开具发票、怎样开具发票等问题对企业培训指导，引导涉案企业守法经营。</w:t>
      </w:r>
      <w:r>
        <w:rPr>
          <w:rFonts w:hint="default" w:ascii="仿宋_GB2312" w:hAnsi="Times New Roman" w:eastAsia="仿宋_GB2312" w:cs="仿宋_GB2312"/>
          <w:kern w:val="0"/>
          <w:sz w:val="32"/>
          <w:szCs w:val="32"/>
        </w:rPr>
        <w:t>强化涉企人员羁押必要性审查，在办理一起某公司实际控制人涉嫌诈骗罪一案中，为避免企业因案关停，依法向办案单位提出变更强制措施为取保候审的建议并予采纳。联合</w:t>
      </w:r>
      <w:r>
        <w:rPr>
          <w:rFonts w:hint="default" w:ascii="仿宋_GB2312" w:hAnsi="宋体" w:eastAsia="仿宋_GB2312" w:cs="仿宋_GB2312"/>
          <w:kern w:val="0"/>
          <w:sz w:val="32"/>
          <w:szCs w:val="32"/>
        </w:rPr>
        <w:t>区</w:t>
      </w:r>
      <w:r>
        <w:rPr>
          <w:rFonts w:hint="default" w:ascii="仿宋_GB2312" w:hAnsi="Times New Roman" w:eastAsia="仿宋_GB2312" w:cs="仿宋_GB2312"/>
          <w:kern w:val="0"/>
          <w:sz w:val="32"/>
          <w:szCs w:val="32"/>
        </w:rPr>
        <w:t>司法局为涉企社区矫正对象外出从事生产经营活动开通绿色通道。深化“检企对话”机制，院党组带领环节以上干部深入赤峰市资源型城市经济转型开发试验区开展调研座谈，与工商联建立长期联络机制，</w:t>
      </w:r>
      <w:r>
        <w:rPr>
          <w:rFonts w:hint="default" w:ascii="仿宋_GB2312" w:hAnsi="宋体" w:eastAsia="仿宋_GB2312" w:cs="仿宋_GB2312"/>
          <w:kern w:val="0"/>
          <w:sz w:val="32"/>
          <w:szCs w:val="32"/>
        </w:rPr>
        <w:t>同乡镇街道网格员对接，为企业提供网格化服务</w:t>
      </w:r>
      <w:r>
        <w:rPr>
          <w:rFonts w:hint="default" w:ascii="仿宋_GB2312" w:hAnsi="Times New Roman" w:eastAsia="仿宋_GB2312" w:cs="仿宋_GB2312"/>
          <w:kern w:val="0"/>
          <w:sz w:val="32"/>
          <w:szCs w:val="32"/>
        </w:rPr>
        <w:t>。</w:t>
      </w:r>
    </w:p>
    <w:p>
      <w:pPr>
        <w:keepNext w:val="0"/>
        <w:keepLines w:val="0"/>
        <w:widowControl/>
        <w:suppressLineNumbers w:val="0"/>
        <w:spacing w:line="579" w:lineRule="exact"/>
        <w:ind w:left="0" w:firstLine="640" w:firstLineChars="200"/>
        <w:rPr>
          <w:rFonts w:hint="default" w:ascii="Times New Roman" w:hAnsi="Times New Roman" w:eastAsia="仿宋_GB2312" w:cs="宋体"/>
          <w:kern w:val="0"/>
          <w:sz w:val="32"/>
          <w:szCs w:val="32"/>
        </w:rPr>
      </w:pPr>
      <w:r>
        <w:rPr>
          <w:rFonts w:hint="default" w:ascii="楷体_GB2312" w:hAnsi="宋体" w:eastAsia="楷体_GB2312" w:cs="楷体_GB2312"/>
          <w:kern w:val="0"/>
          <w:sz w:val="32"/>
          <w:szCs w:val="32"/>
        </w:rPr>
        <w:t>用心用情办好检察为民实事。</w:t>
      </w:r>
      <w:r>
        <w:rPr>
          <w:rFonts w:hint="default" w:ascii="仿宋_GB2312" w:hAnsi="Times New Roman" w:eastAsia="仿宋_GB2312" w:cs="仿宋_GB2312"/>
          <w:kern w:val="0"/>
          <w:sz w:val="32"/>
          <w:szCs w:val="32"/>
        </w:rPr>
        <w:t>用心回复群众信访。坚持做到群众信访件件有回复，审</w:t>
      </w:r>
      <w:r>
        <w:rPr>
          <w:rFonts w:hint="default" w:ascii="仿宋_GB2312" w:hAnsi="宋体" w:eastAsia="仿宋_GB2312" w:cs="仿宋_GB2312"/>
          <w:color w:val="000000"/>
          <w:kern w:val="0"/>
          <w:sz w:val="32"/>
          <w:szCs w:val="32"/>
        </w:rPr>
        <w:t>查处理控告申诉</w:t>
      </w:r>
      <w:r>
        <w:rPr>
          <w:rFonts w:hint="default" w:ascii="仿宋_GB2312" w:hAnsi="Times New Roman" w:eastAsia="仿宋_GB2312" w:cs="仿宋_GB2312"/>
          <w:kern w:val="0"/>
          <w:sz w:val="32"/>
          <w:szCs w:val="32"/>
        </w:rPr>
        <w:t>案件</w:t>
      </w:r>
      <w:r>
        <w:rPr>
          <w:rFonts w:hint="default" w:ascii="Times New Roman" w:hAnsi="Times New Roman" w:eastAsia="仿宋_GB2312" w:cs="Times New Roman"/>
          <w:kern w:val="0"/>
          <w:sz w:val="32"/>
          <w:szCs w:val="32"/>
        </w:rPr>
        <w:t>21</w:t>
      </w:r>
      <w:r>
        <w:rPr>
          <w:rFonts w:hint="default" w:ascii="仿宋_GB2312" w:hAnsi="Times New Roman" w:eastAsia="仿宋_GB2312" w:cs="仿宋_GB2312"/>
          <w:kern w:val="0"/>
          <w:sz w:val="32"/>
          <w:szCs w:val="32"/>
        </w:rPr>
        <w:t>件，接待来访群众</w:t>
      </w:r>
      <w:r>
        <w:rPr>
          <w:rFonts w:hint="default" w:ascii="Times New Roman" w:hAnsi="Times New Roman" w:eastAsia="仿宋_GB2312" w:cs="Times New Roman"/>
          <w:kern w:val="0"/>
          <w:sz w:val="32"/>
          <w:szCs w:val="32"/>
        </w:rPr>
        <w:t>68</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100</w:t>
      </w:r>
      <w:r>
        <w:rPr>
          <w:rFonts w:hint="default" w:ascii="仿宋_GB2312" w:hAnsi="Times New Roman" w:eastAsia="仿宋_GB2312" w:cs="仿宋_GB2312"/>
          <w:kern w:val="0"/>
          <w:sz w:val="32"/>
          <w:szCs w:val="32"/>
        </w:rPr>
        <w:t>人，处理群众来信</w:t>
      </w:r>
      <w:r>
        <w:rPr>
          <w:rFonts w:hint="default" w:ascii="Times New Roman" w:hAnsi="Times New Roman" w:eastAsia="仿宋_GB2312" w:cs="Times New Roman"/>
          <w:kern w:val="0"/>
          <w:sz w:val="32"/>
          <w:szCs w:val="32"/>
        </w:rPr>
        <w:t>15</w:t>
      </w:r>
      <w:r>
        <w:rPr>
          <w:rFonts w:hint="default" w:ascii="仿宋_GB2312" w:hAnsi="Times New Roman" w:eastAsia="仿宋_GB2312" w:cs="仿宋_GB2312"/>
          <w:kern w:val="0"/>
          <w:sz w:val="32"/>
          <w:szCs w:val="32"/>
        </w:rPr>
        <w:t>件，均在检察环节得到妥善处理，未发生涉检信访。用情化解社会矛盾。承办人革新机械办案理念，强化释法说理，综合运用轻微刑事案件赔偿保证金制度、召开听证会、当面调处矛盾等方式促成当事人和解并作出不起诉决定。在办理的一起邻里纠纷引起的故意伤害案中，起因仅是邻居家的鸡吃了自己院子里的菜，检察官耐心为二人做调解，促使双方达成赔偿谅解后作出不起诉决定，实现了从“治罪”到“治理”的转变，有效化解矛盾，促进社会和谐。</w:t>
      </w:r>
      <w:r>
        <w:rPr>
          <w:rFonts w:hint="default" w:ascii="仿宋_GB2312" w:hAnsi="宋体" w:eastAsia="仿宋_GB2312" w:cs="仿宋_GB2312"/>
          <w:kern w:val="0"/>
          <w:sz w:val="32"/>
          <w:szCs w:val="32"/>
        </w:rPr>
        <w:t>守住养老“钱袋子”。推进养老诈骗专项整治活动走深走实，成立专项办案组，从严惩处涉养老诈骗案件，并及时向社会发布信息。用好司法救助金。推出“检察</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”救助模式，推动司法救助与民政救助、社会救助有机融合，用多元救助为困境人群撑起“爱心伞”。</w:t>
      </w:r>
      <w:r>
        <w:rPr>
          <w:rFonts w:hint="default" w:ascii="仿宋_GB2312" w:hAnsi="Times New Roman" w:eastAsia="仿宋_GB2312" w:cs="仿宋_GB2312"/>
          <w:kern w:val="0"/>
          <w:sz w:val="32"/>
          <w:szCs w:val="32"/>
        </w:rPr>
        <w:t>办理司法救助案件</w:t>
      </w:r>
      <w:r>
        <w:rPr>
          <w:rFonts w:hint="default" w:ascii="Times New Roman" w:hAnsi="Times New Roman" w:eastAsia="仿宋_GB2312" w:cs="Times New Roman"/>
          <w:kern w:val="0"/>
          <w:sz w:val="32"/>
          <w:szCs w:val="32"/>
        </w:rPr>
        <w:t>16</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16</w:t>
      </w:r>
      <w:r>
        <w:rPr>
          <w:rFonts w:hint="default" w:ascii="仿宋_GB2312" w:hAnsi="Times New Roman" w:eastAsia="仿宋_GB2312" w:cs="仿宋_GB2312"/>
          <w:kern w:val="0"/>
          <w:sz w:val="32"/>
          <w:szCs w:val="32"/>
        </w:rPr>
        <w:t>人，号召社会爱心人士救助</w:t>
      </w:r>
      <w:r>
        <w:rPr>
          <w:rFonts w:hint="default" w:ascii="Times New Roman" w:hAnsi="Times New Roman" w:eastAsia="仿宋_GB2312" w:cs="Times New Roman"/>
          <w:kern w:val="0"/>
          <w:sz w:val="32"/>
          <w:szCs w:val="32"/>
        </w:rPr>
        <w:t>3</w:t>
      </w:r>
      <w:r>
        <w:rPr>
          <w:rFonts w:hint="default" w:ascii="仿宋_GB2312" w:hAnsi="Times New Roman" w:eastAsia="仿宋_GB2312" w:cs="仿宋_GB2312"/>
          <w:kern w:val="0"/>
          <w:sz w:val="32"/>
          <w:szCs w:val="32"/>
        </w:rPr>
        <w:t>人，发放国家司法救助金和爱心救助金共计</w:t>
      </w:r>
      <w:r>
        <w:rPr>
          <w:rFonts w:hint="default" w:ascii="Times New Roman" w:hAnsi="Times New Roman" w:eastAsia="仿宋_GB2312" w:cs="Times New Roman"/>
          <w:kern w:val="0"/>
          <w:sz w:val="32"/>
          <w:szCs w:val="32"/>
        </w:rPr>
        <w:t>12</w:t>
      </w:r>
      <w:r>
        <w:rPr>
          <w:rFonts w:hint="default" w:ascii="仿宋_GB2312" w:hAnsi="Times New Roman" w:eastAsia="仿宋_GB2312" w:cs="仿宋_GB2312"/>
          <w:kern w:val="0"/>
          <w:sz w:val="32"/>
          <w:szCs w:val="32"/>
        </w:rPr>
        <w:t>万余元。</w:t>
      </w:r>
      <w:r>
        <w:rPr>
          <w:rFonts w:hint="default" w:ascii="仿宋_GB2312" w:hAnsi="宋体" w:eastAsia="仿宋_GB2312" w:cs="仿宋_GB2312"/>
          <w:kern w:val="0"/>
          <w:sz w:val="32"/>
          <w:szCs w:val="32"/>
        </w:rPr>
        <w:t>在一起故意伤害案中，母亲将父亲打死</w:t>
      </w:r>
      <w:r>
        <w:rPr>
          <w:rFonts w:hint="default" w:ascii="仿宋_GB2312" w:hAnsi="Times New Roman" w:eastAsia="仿宋_GB2312" w:cs="仿宋_GB2312"/>
          <w:kern w:val="0"/>
          <w:sz w:val="32"/>
          <w:szCs w:val="32"/>
        </w:rPr>
        <w:t>，留下两个孩子需要年迈的爷爷抚养，我</w:t>
      </w:r>
      <w:r>
        <w:rPr>
          <w:rFonts w:hint="default" w:ascii="仿宋_GB2312" w:hAnsi="宋体" w:eastAsia="仿宋_GB2312" w:cs="仿宋_GB2312"/>
          <w:kern w:val="0"/>
          <w:sz w:val="32"/>
          <w:szCs w:val="32"/>
        </w:rPr>
        <w:t>院为两名</w:t>
      </w:r>
      <w:r>
        <w:rPr>
          <w:rFonts w:hint="default" w:ascii="仿宋_GB2312" w:hAnsi="Times New Roman" w:eastAsia="仿宋_GB2312" w:cs="仿宋_GB2312"/>
          <w:kern w:val="0"/>
          <w:sz w:val="32"/>
          <w:szCs w:val="32"/>
        </w:rPr>
        <w:t>困境</w:t>
      </w:r>
      <w:r>
        <w:rPr>
          <w:rFonts w:hint="default" w:ascii="仿宋_GB2312" w:hAnsi="宋体" w:eastAsia="仿宋_GB2312" w:cs="仿宋_GB2312"/>
          <w:kern w:val="0"/>
          <w:sz w:val="32"/>
          <w:szCs w:val="32"/>
        </w:rPr>
        <w:t>儿童发放司法救助</w:t>
      </w:r>
      <w:r>
        <w:rPr>
          <w:rFonts w:hint="default" w:ascii="仿宋_GB2312" w:hAnsi="Times New Roman" w:eastAsia="仿宋_GB2312" w:cs="仿宋_GB2312"/>
          <w:kern w:val="0"/>
          <w:sz w:val="32"/>
          <w:szCs w:val="32"/>
        </w:rPr>
        <w:t>金</w:t>
      </w:r>
      <w:r>
        <w:rPr>
          <w:rFonts w:hint="default" w:ascii="Times New Roman" w:hAnsi="Times New Roman" w:eastAsia="仿宋_GB2312" w:cs="Times New Roman"/>
          <w:kern w:val="0"/>
          <w:sz w:val="32"/>
          <w:szCs w:val="32"/>
        </w:rPr>
        <w:t>2</w:t>
      </w:r>
      <w:r>
        <w:rPr>
          <w:rFonts w:hint="default" w:ascii="仿宋_GB2312" w:hAnsi="Times New Roman" w:eastAsia="仿宋_GB2312" w:cs="仿宋_GB2312"/>
          <w:kern w:val="0"/>
          <w:sz w:val="32"/>
          <w:szCs w:val="32"/>
        </w:rPr>
        <w:t>万元，并联合民政局到其家中现场办公，开展临时救助和“事实孤儿”认定，同时</w:t>
      </w:r>
      <w:r>
        <w:rPr>
          <w:rFonts w:hint="default" w:ascii="仿宋_GB2312" w:hAnsi="宋体" w:eastAsia="仿宋_GB2312" w:cs="仿宋_GB2312"/>
          <w:kern w:val="0"/>
          <w:sz w:val="32"/>
          <w:szCs w:val="32"/>
        </w:rPr>
        <w:t>联系爱心组织进行资助，帮助祖孙三人共度难关。</w:t>
      </w:r>
    </w:p>
    <w:p>
      <w:pPr>
        <w:keepNext w:val="0"/>
        <w:keepLines w:val="0"/>
        <w:widowControl/>
        <w:suppressLineNumbers w:val="0"/>
        <w:ind w:left="0" w:firstLine="640" w:firstLineChars="200"/>
        <w:rPr>
          <w:rFonts w:hint="default" w:ascii="仿宋_GB2312" w:hAnsi="宋体" w:eastAsia="仿宋_GB2312" w:cs="宋体"/>
          <w:color w:val="000000"/>
          <w:kern w:val="0"/>
          <w:sz w:val="32"/>
          <w:szCs w:val="32"/>
        </w:rPr>
      </w:pPr>
      <w:r>
        <w:rPr>
          <w:rFonts w:hint="default" w:ascii="楷体_GB2312" w:eastAsia="楷体_GB2312" w:cs="楷体_GB2312"/>
          <w:color w:val="000000"/>
          <w:kern w:val="0"/>
          <w:sz w:val="32"/>
          <w:szCs w:val="32"/>
        </w:rPr>
        <w:t>积极推进社会治理体系和治理能力现代化。</w:t>
      </w:r>
      <w:r>
        <w:rPr>
          <w:rFonts w:hint="default" w:ascii="仿宋_GB2312" w:hAnsi="宋体" w:eastAsia="仿宋_GB2312" w:cs="仿宋_GB2312"/>
          <w:kern w:val="0"/>
          <w:sz w:val="32"/>
          <w:szCs w:val="32"/>
        </w:rPr>
        <w:t>全面推进依法治区，加快推进市域社会治理现代化，积极践行“八五”普法规划，</w:t>
      </w:r>
      <w:r>
        <w:rPr>
          <w:rFonts w:hint="default" w:ascii="仿宋_GB2312" w:hAnsi="Times New Roman" w:eastAsia="仿宋_GB2312" w:cs="仿宋_GB2312"/>
          <w:kern w:val="0"/>
          <w:sz w:val="32"/>
          <w:szCs w:val="32"/>
        </w:rPr>
        <w:t>开展法治宣传</w:t>
      </w:r>
      <w:r>
        <w:rPr>
          <w:rFonts w:hint="default" w:ascii="Times New Roman" w:hAnsi="Times New Roman" w:eastAsia="仿宋_GB2312" w:cs="Times New Roman"/>
          <w:kern w:val="0"/>
          <w:sz w:val="32"/>
          <w:szCs w:val="32"/>
        </w:rPr>
        <w:t>14</w:t>
      </w:r>
      <w:r>
        <w:rPr>
          <w:rFonts w:hint="default" w:ascii="仿宋_GB2312" w:hAnsi="Times New Roman" w:eastAsia="仿宋_GB2312" w:cs="仿宋_GB2312"/>
          <w:kern w:val="0"/>
          <w:sz w:val="32"/>
          <w:szCs w:val="32"/>
        </w:rPr>
        <w:t>次，受众达</w:t>
      </w:r>
      <w:r>
        <w:rPr>
          <w:rFonts w:hint="default" w:ascii="Times New Roman" w:hAnsi="Times New Roman" w:eastAsia="仿宋_GB2312" w:cs="Times New Roman"/>
          <w:kern w:val="0"/>
          <w:sz w:val="32"/>
          <w:szCs w:val="32"/>
        </w:rPr>
        <w:t>2</w:t>
      </w:r>
      <w:r>
        <w:rPr>
          <w:rFonts w:hint="default" w:ascii="仿宋_GB2312" w:hAnsi="Times New Roman" w:eastAsia="仿宋_GB2312" w:cs="仿宋_GB2312"/>
          <w:kern w:val="0"/>
          <w:sz w:val="32"/>
          <w:szCs w:val="32"/>
        </w:rPr>
        <w:t>万余人次，持续与区电视台联合制作《以案说法》栏目，五年来累计播出</w:t>
      </w:r>
      <w:r>
        <w:rPr>
          <w:rFonts w:hint="default" w:ascii="Times New Roman" w:hAnsi="Times New Roman" w:eastAsia="仿宋_GB2312" w:cs="Times New Roman"/>
          <w:kern w:val="0"/>
          <w:sz w:val="32"/>
          <w:szCs w:val="32"/>
        </w:rPr>
        <w:t>65</w:t>
      </w:r>
      <w:r>
        <w:rPr>
          <w:rFonts w:hint="default" w:ascii="仿宋_GB2312" w:hAnsi="Times New Roman" w:eastAsia="仿宋_GB2312" w:cs="仿宋_GB2312"/>
          <w:kern w:val="0"/>
          <w:sz w:val="32"/>
          <w:szCs w:val="32"/>
        </w:rPr>
        <w:t>期，做到零距离生动普法。</w:t>
      </w:r>
      <w:r>
        <w:rPr>
          <w:rFonts w:hint="default" w:ascii="仿宋_GB2312" w:hAnsi="宋体" w:eastAsia="仿宋_GB2312" w:cs="仿宋_GB2312"/>
          <w:kern w:val="0"/>
          <w:sz w:val="32"/>
          <w:szCs w:val="32"/>
        </w:rPr>
        <w:t>针对电信网络诈骗犯罪暴露出的银行不充分履职问题发出检察建议，有效防范化解金融风险。做好二十大维稳安保相关工作，强化</w:t>
      </w:r>
      <w:r>
        <w:rPr>
          <w:rFonts w:hint="default" w:ascii="仿宋_GB2312" w:hAnsi="楷体" w:eastAsia="仿宋_GB2312" w:cs="仿宋_GB2312"/>
          <w:kern w:val="0"/>
          <w:sz w:val="32"/>
          <w:szCs w:val="32"/>
        </w:rPr>
        <w:t>重点人员、重点场所风险隐患排查。</w:t>
      </w:r>
      <w:r>
        <w:rPr>
          <w:rFonts w:hint="default" w:ascii="仿宋_GB2312" w:eastAsia="仿宋_GB2312" w:cs="仿宋_GB2312"/>
          <w:kern w:val="0"/>
          <w:sz w:val="32"/>
          <w:szCs w:val="32"/>
        </w:rPr>
        <w:t>对存在规模性和进京赴呼集体上访的涉法涉诉重点人员逐一建立台账，做到底数清、情况明、防控准。开展看守所安全防范专项检查，充分调查了解监管人员情况，及时消除监管场所安全隐患。全年制发涉...等方面的社会治理类检察建议X份，相关机关积极回复整改，如</w:t>
      </w:r>
      <w:r>
        <w:rPr>
          <w:rFonts w:hint="default" w:ascii="仿宋_GB2312" w:hAnsi="Times New Roman" w:eastAsia="仿宋_GB2312" w:cs="仿宋_GB2312"/>
          <w:kern w:val="0"/>
          <w:sz w:val="32"/>
          <w:szCs w:val="32"/>
        </w:rPr>
        <w:t>依托公益诉讼检察职能开展创建全国文明城市专项监督活动，同有关单位就环境保护和消防安全等问题召开联席会，制发检察建议</w:t>
      </w:r>
      <w:r>
        <w:rPr>
          <w:rFonts w:hint="default" w:ascii="Times New Roman" w:hAnsi="Times New Roman" w:eastAsia="仿宋_GB2312" w:cs="Times New Roman"/>
          <w:kern w:val="0"/>
          <w:sz w:val="32"/>
          <w:szCs w:val="32"/>
        </w:rPr>
        <w:t>6</w:t>
      </w:r>
      <w:r>
        <w:rPr>
          <w:rFonts w:hint="default" w:ascii="仿宋_GB2312" w:hAnsi="Times New Roman" w:eastAsia="仿宋_GB2312" w:cs="仿宋_GB2312"/>
          <w:kern w:val="0"/>
          <w:sz w:val="32"/>
          <w:szCs w:val="32"/>
        </w:rPr>
        <w:t>份，协力构建美丽文明的生活环境。常态化做好疫情防控，全体干警轮流下沉防疫一线，多名干警获得社区“最美志愿者”称号。</w:t>
      </w:r>
    </w:p>
    <w:p>
      <w:pPr>
        <w:keepNext w:val="0"/>
        <w:keepLines w:val="0"/>
        <w:widowControl/>
        <w:suppressLineNumbers w:val="0"/>
        <w:spacing w:line="579" w:lineRule="exact"/>
        <w:ind w:left="0" w:firstLine="640"/>
        <w:rPr>
          <w:rFonts w:hint="default" w:ascii="仿宋_GB2312" w:hAnsi="楷体" w:eastAsia="仿宋_GB2312" w:cs="宋体"/>
          <w:kern w:val="0"/>
          <w:sz w:val="32"/>
          <w:szCs w:val="32"/>
        </w:rPr>
      </w:pPr>
      <w:r>
        <w:rPr>
          <w:rFonts w:hint="default" w:ascii="楷体_GB2312" w:hAnsi="宋体" w:eastAsia="楷体_GB2312" w:cs="楷体_GB2312"/>
          <w:kern w:val="0"/>
          <w:sz w:val="32"/>
          <w:szCs w:val="32"/>
        </w:rPr>
        <w:t>守护祖国未来，抓实未成年人保护。</w:t>
      </w:r>
      <w:r>
        <w:rPr>
          <w:rFonts w:hint="default" w:ascii="仿宋_GB2312" w:hAnsi="Times New Roman" w:eastAsia="仿宋_GB2312" w:cs="仿宋_GB2312"/>
          <w:kern w:val="0"/>
          <w:sz w:val="32"/>
          <w:szCs w:val="32"/>
        </w:rPr>
        <w:t>认真贯彻“教育、感化、挽救”方针和“教育为主、惩罚为辅”原则，坚持依法惩戒和精准帮教相结合，教育挽救涉罪未成年人。办理审查逮捕未成年人犯罪案件</w:t>
      </w:r>
      <w:r>
        <w:rPr>
          <w:rFonts w:hint="default" w:ascii="Times New Roman" w:hAnsi="Times New Roman" w:eastAsia="仿宋_GB2312" w:cs="Times New Roman"/>
          <w:kern w:val="0"/>
          <w:sz w:val="32"/>
          <w:szCs w:val="32"/>
        </w:rPr>
        <w:t>13</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23</w:t>
      </w:r>
      <w:r>
        <w:rPr>
          <w:rFonts w:hint="default" w:ascii="仿宋_GB2312" w:hAnsi="Times New Roman" w:eastAsia="仿宋_GB2312" w:cs="仿宋_GB2312"/>
          <w:kern w:val="0"/>
          <w:sz w:val="32"/>
          <w:szCs w:val="32"/>
        </w:rPr>
        <w:t>人，批准逮捕</w:t>
      </w:r>
      <w:r>
        <w:rPr>
          <w:rFonts w:hint="default" w:ascii="Times New Roman" w:hAnsi="Times New Roman" w:eastAsia="仿宋_GB2312" w:cs="Times New Roman"/>
          <w:kern w:val="0"/>
          <w:sz w:val="32"/>
          <w:szCs w:val="32"/>
        </w:rPr>
        <w:t>2</w:t>
      </w:r>
      <w:r>
        <w:rPr>
          <w:rFonts w:hint="default" w:ascii="仿宋_GB2312" w:hAnsi="Times New Roman" w:eastAsia="仿宋_GB2312" w:cs="仿宋_GB2312"/>
          <w:kern w:val="0"/>
          <w:sz w:val="32"/>
          <w:szCs w:val="32"/>
        </w:rPr>
        <w:t>人，不批准逮捕</w:t>
      </w:r>
      <w:r>
        <w:rPr>
          <w:rFonts w:hint="default" w:ascii="Times New Roman" w:hAnsi="Times New Roman" w:eastAsia="仿宋_GB2312" w:cs="Times New Roman"/>
          <w:kern w:val="0"/>
          <w:sz w:val="32"/>
          <w:szCs w:val="32"/>
        </w:rPr>
        <w:t>21</w:t>
      </w:r>
      <w:r>
        <w:rPr>
          <w:rFonts w:hint="default" w:ascii="仿宋_GB2312" w:hAnsi="Times New Roman" w:eastAsia="仿宋_GB2312" w:cs="仿宋_GB2312"/>
          <w:kern w:val="0"/>
          <w:sz w:val="32"/>
          <w:szCs w:val="32"/>
        </w:rPr>
        <w:t>人，未成年不捕率为</w:t>
      </w:r>
      <w:r>
        <w:rPr>
          <w:rFonts w:hint="default" w:ascii="Times New Roman" w:hAnsi="Times New Roman" w:eastAsia="仿宋_GB2312" w:cs="Times New Roman"/>
          <w:kern w:val="0"/>
          <w:sz w:val="32"/>
          <w:szCs w:val="32"/>
        </w:rPr>
        <w:t>91.30%</w:t>
      </w:r>
      <w:r>
        <w:rPr>
          <w:rFonts w:hint="default" w:ascii="仿宋_GB2312" w:hAnsi="Times New Roman" w:eastAsia="仿宋_GB2312" w:cs="仿宋_GB2312"/>
          <w:kern w:val="0"/>
          <w:sz w:val="32"/>
          <w:szCs w:val="32"/>
        </w:rPr>
        <w:t>。办理审查起诉案件</w:t>
      </w:r>
      <w:r>
        <w:rPr>
          <w:rFonts w:hint="default" w:ascii="Times New Roman" w:hAnsi="Times New Roman" w:eastAsia="仿宋_GB2312" w:cs="Times New Roman"/>
          <w:kern w:val="0"/>
          <w:sz w:val="32"/>
          <w:szCs w:val="32"/>
        </w:rPr>
        <w:t>8</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12</w:t>
      </w:r>
      <w:r>
        <w:rPr>
          <w:rFonts w:hint="default" w:ascii="仿宋_GB2312" w:hAnsi="Times New Roman" w:eastAsia="仿宋_GB2312" w:cs="仿宋_GB2312"/>
          <w:kern w:val="0"/>
          <w:sz w:val="32"/>
          <w:szCs w:val="32"/>
        </w:rPr>
        <w:t>人，提起公诉</w:t>
      </w:r>
      <w:r>
        <w:rPr>
          <w:rFonts w:hint="default" w:ascii="Times New Roman" w:hAnsi="Times New Roman" w:eastAsia="仿宋_GB2312" w:cs="Times New Roman"/>
          <w:kern w:val="0"/>
          <w:sz w:val="32"/>
          <w:szCs w:val="32"/>
        </w:rPr>
        <w:t>3</w:t>
      </w:r>
      <w:r>
        <w:rPr>
          <w:rFonts w:hint="default" w:ascii="仿宋_GB2312" w:hAnsi="Times New Roman" w:eastAsia="仿宋_GB2312" w:cs="仿宋_GB2312"/>
          <w:kern w:val="0"/>
          <w:sz w:val="32"/>
          <w:szCs w:val="32"/>
        </w:rPr>
        <w:t>人，不起诉</w:t>
      </w:r>
      <w:r>
        <w:rPr>
          <w:rFonts w:hint="default" w:ascii="Times New Roman" w:hAnsi="Times New Roman" w:eastAsia="仿宋_GB2312" w:cs="Times New Roman"/>
          <w:kern w:val="0"/>
          <w:sz w:val="32"/>
          <w:szCs w:val="32"/>
        </w:rPr>
        <w:t>5</w:t>
      </w:r>
      <w:r>
        <w:rPr>
          <w:rFonts w:hint="default" w:ascii="仿宋_GB2312" w:hAnsi="Times New Roman" w:eastAsia="仿宋_GB2312" w:cs="仿宋_GB2312"/>
          <w:kern w:val="0"/>
          <w:sz w:val="32"/>
          <w:szCs w:val="32"/>
        </w:rPr>
        <w:t>人，附条件不起诉案件</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人附条件期满不起诉</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人，未成年不起诉率为</w:t>
      </w:r>
      <w:r>
        <w:rPr>
          <w:rFonts w:hint="default" w:ascii="Times New Roman" w:hAnsi="Times New Roman" w:eastAsia="仿宋_GB2312" w:cs="Times New Roman"/>
          <w:kern w:val="0"/>
          <w:sz w:val="32"/>
          <w:szCs w:val="32"/>
        </w:rPr>
        <w:t>75%</w:t>
      </w:r>
      <w:r>
        <w:rPr>
          <w:rFonts w:hint="default" w:ascii="仿宋_GB2312" w:hAnsi="Times New Roman" w:eastAsia="仿宋_GB2312" w:cs="仿宋_GB2312"/>
          <w:kern w:val="0"/>
          <w:sz w:val="32"/>
          <w:szCs w:val="32"/>
        </w:rPr>
        <w:t>。将司法保护主动融入其他“五大保护”，从课堂到校园 ，从家庭到社会，全方位加强未成年人保护。</w:t>
      </w:r>
      <w:r>
        <w:rPr>
          <w:rFonts w:hint="default" w:ascii="Times New Roman" w:hAnsi="Times New Roman" w:eastAsia="仿宋_GB2312" w:cs="Times New Roman"/>
          <w:kern w:val="0"/>
          <w:sz w:val="32"/>
          <w:szCs w:val="32"/>
        </w:rPr>
        <w:t>13</w:t>
      </w:r>
      <w:r>
        <w:rPr>
          <w:rFonts w:hint="default" w:ascii="仿宋_GB2312" w:hAnsi="Times New Roman" w:eastAsia="仿宋_GB2312" w:cs="仿宋_GB2312"/>
          <w:kern w:val="0"/>
          <w:sz w:val="32"/>
          <w:szCs w:val="32"/>
        </w:rPr>
        <w:t>名干警担任法治副校长，开展预防校园暴力、网络诈骗、性侵等主题送法进校园、进乡村、进社区活动，切实增强孩子们自我保护意识。牵头举办全区中学生主题朗诵比赛，录制《“未”你定制》系列宣传视频，制作“情暖童心 检爱同行”系列漫画，深受孩子们的喜爱。强化校园安全整治，特别对农村偏远学校进行设施安全检查，排除安全隐患，保障校园安全。筑牢家庭保护第一道防线，制定“‘未’你而来，送法到家”系列讲座为家长们宣传《家庭教育促进法》，针对部分家长存在的监护缺位和重养轻教问题，开展家庭教育指导，并制发《督促监护令》《家庭教育令》共</w:t>
      </w:r>
      <w:r>
        <w:rPr>
          <w:rFonts w:hint="default" w:ascii="Times New Roman" w:hAnsi="Times New Roman" w:eastAsia="仿宋_GB2312" w:cs="Times New Roman"/>
          <w:kern w:val="0"/>
          <w:sz w:val="32"/>
          <w:szCs w:val="32"/>
        </w:rPr>
        <w:t>27</w:t>
      </w:r>
      <w:r>
        <w:rPr>
          <w:rFonts w:hint="default" w:ascii="仿宋_GB2312" w:hAnsi="Times New Roman" w:eastAsia="仿宋_GB2312" w:cs="仿宋_GB2312"/>
          <w:kern w:val="0"/>
          <w:sz w:val="32"/>
          <w:szCs w:val="32"/>
        </w:rPr>
        <w:t>份。全面落实社会调查制度，联系民政、妇联、关工委等单位</w:t>
      </w:r>
      <w:r>
        <w:rPr>
          <w:rFonts w:hint="default" w:ascii="仿宋_GB2312" w:hAnsi="宋体" w:eastAsia="仿宋_GB2312" w:cs="仿宋_GB2312"/>
          <w:kern w:val="0"/>
          <w:sz w:val="32"/>
          <w:szCs w:val="32"/>
        </w:rPr>
        <w:t>共制作社会</w:t>
      </w:r>
      <w:r>
        <w:rPr>
          <w:rFonts w:hint="default" w:ascii="仿宋_GB2312" w:hAnsi="Times New Roman" w:eastAsia="仿宋_GB2312" w:cs="仿宋_GB2312"/>
          <w:kern w:val="0"/>
          <w:sz w:val="32"/>
          <w:szCs w:val="32"/>
        </w:rPr>
        <w:t>调查</w:t>
      </w:r>
      <w:r>
        <w:rPr>
          <w:rFonts w:hint="default" w:ascii="Times New Roman" w:hAnsi="Times New Roman" w:eastAsia="仿宋_GB2312" w:cs="Times New Roman"/>
          <w:kern w:val="0"/>
          <w:sz w:val="32"/>
          <w:szCs w:val="32"/>
        </w:rPr>
        <w:t>200</w:t>
      </w:r>
      <w:r>
        <w:rPr>
          <w:rFonts w:hint="default" w:ascii="仿宋_GB2312" w:hAnsi="Times New Roman" w:eastAsia="仿宋_GB2312" w:cs="仿宋_GB2312"/>
          <w:kern w:val="0"/>
          <w:sz w:val="32"/>
          <w:szCs w:val="32"/>
        </w:rPr>
        <w:t>余份，确保合理</w:t>
      </w:r>
      <w:r>
        <w:rPr>
          <w:rFonts w:hint="default" w:ascii="仿宋_GB2312" w:hAnsi="宋体" w:eastAsia="仿宋_GB2312" w:cs="仿宋_GB2312"/>
          <w:kern w:val="0"/>
          <w:sz w:val="32"/>
          <w:szCs w:val="32"/>
        </w:rPr>
        <w:t>适用强制措施、有效开展教育矫正，对孩子实行全方位多维度监管和关爱。</w:t>
      </w:r>
      <w:r>
        <w:rPr>
          <w:rFonts w:hint="default" w:ascii="仿宋_GB2312" w:hAnsi="Times New Roman" w:eastAsia="仿宋_GB2312" w:cs="仿宋_GB2312"/>
          <w:kern w:val="0"/>
          <w:sz w:val="32"/>
          <w:szCs w:val="32"/>
        </w:rPr>
        <w:t>强化行业场所监管，对旅馆、酒店、</w:t>
      </w:r>
      <w:r>
        <w:rPr>
          <w:rFonts w:hint="default" w:ascii="Times New Roman" w:hAnsi="Times New Roman" w:eastAsia="仿宋_GB2312" w:cs="Times New Roman"/>
          <w:kern w:val="0"/>
          <w:sz w:val="32"/>
          <w:szCs w:val="32"/>
        </w:rPr>
        <w:t>KTV</w:t>
      </w:r>
      <w:r>
        <w:rPr>
          <w:rFonts w:hint="default" w:ascii="仿宋_GB2312" w:hAnsi="Times New Roman" w:eastAsia="仿宋_GB2312" w:cs="仿宋_GB2312"/>
          <w:kern w:val="0"/>
          <w:sz w:val="32"/>
          <w:szCs w:val="32"/>
        </w:rPr>
        <w:t>等场所开展落实强制报告制度、整治纹身乱象和未成年人有偿陪侍问题等专项监督检查，堵塞侵害未成年人以及未成年人犯罪的基础和源头，筑起未成年 人综合保护堤坝。</w:t>
      </w:r>
    </w:p>
    <w:p>
      <w:pPr>
        <w:keepNext w:val="0"/>
        <w:keepLines w:val="0"/>
        <w:widowControl/>
        <w:suppressLineNumbers w:val="0"/>
        <w:spacing w:line="568" w:lineRule="atLeast"/>
        <w:ind w:left="0" w:firstLine="640" w:firstLineChars="200"/>
        <w:rPr>
          <w:rFonts w:hint="eastAsia" w:ascii="黑体" w:hAnsi="宋体" w:eastAsia="黑体" w:cs="宋体"/>
          <w:color w:val="000000"/>
          <w:kern w:val="0"/>
          <w:sz w:val="32"/>
          <w:szCs w:val="32"/>
        </w:rPr>
      </w:pPr>
      <w:r>
        <w:rPr>
          <w:rFonts w:hint="eastAsia" w:ascii="黑体" w:hAnsi="宋体" w:eastAsia="黑体" w:cs="黑体"/>
          <w:color w:val="000000"/>
          <w:kern w:val="0"/>
          <w:sz w:val="32"/>
          <w:szCs w:val="32"/>
        </w:rPr>
        <w:t>二、深耕主责主业，</w:t>
      </w:r>
      <w:r>
        <w:rPr>
          <w:rFonts w:hint="eastAsia" w:ascii="黑体" w:hAnsi="宋体" w:eastAsia="黑体" w:cs="黑体"/>
          <w:kern w:val="0"/>
          <w:sz w:val="32"/>
          <w:szCs w:val="32"/>
        </w:rPr>
        <w:t>以</w:t>
      </w:r>
      <w:r>
        <w:rPr>
          <w:rFonts w:hint="eastAsia" w:ascii="黑体" w:hAnsi="宋体" w:eastAsia="黑体" w:cs="黑体"/>
          <w:color w:val="000000"/>
          <w:kern w:val="0"/>
          <w:sz w:val="32"/>
          <w:szCs w:val="32"/>
        </w:rPr>
        <w:t>履职尽责维护社会公平正义</w:t>
      </w:r>
    </w:p>
    <w:p>
      <w:pPr>
        <w:keepNext w:val="0"/>
        <w:keepLines w:val="0"/>
        <w:widowControl/>
        <w:suppressLineNumbers w:val="0"/>
        <w:spacing w:line="560" w:lineRule="exact"/>
        <w:ind w:left="0" w:firstLine="640" w:firstLineChars="200"/>
        <w:rPr>
          <w:rFonts w:hint="default" w:ascii="仿宋_GB2312" w:hAnsi="Calibri" w:eastAsia="仿宋_GB2312" w:cs="仿宋_GB2312"/>
          <w:kern w:val="0"/>
          <w:sz w:val="32"/>
          <w:szCs w:val="32"/>
        </w:rPr>
      </w:pPr>
      <w:r>
        <w:rPr>
          <w:rFonts w:hint="default" w:ascii="楷体_GB2312" w:eastAsia="楷体_GB2312" w:cs="楷体_GB2312"/>
          <w:kern w:val="0"/>
          <w:sz w:val="32"/>
          <w:szCs w:val="32"/>
        </w:rPr>
        <w:t>刑事检察工作不断优化。</w:t>
      </w:r>
      <w:r>
        <w:rPr>
          <w:rFonts w:hint="default" w:ascii="仿宋_GB2312" w:hAnsi="宋体" w:eastAsia="仿宋_GB2312" w:cs="仿宋_GB2312"/>
          <w:kern w:val="0"/>
          <w:sz w:val="32"/>
          <w:szCs w:val="32"/>
        </w:rPr>
        <w:t>贯彻</w:t>
      </w:r>
      <w:r>
        <w:rPr>
          <w:rFonts w:hint="default" w:ascii="仿宋_GB2312" w:hAnsi="Times New Roman" w:eastAsia="仿宋_GB2312" w:cs="仿宋_GB2312"/>
          <w:kern w:val="0"/>
          <w:sz w:val="32"/>
          <w:szCs w:val="32"/>
        </w:rPr>
        <w:t>少捕慎诉慎押刑事司法政策，努力修复社会关系。对因邻里纠纷、日常偶发矛盾、过失引起的犯罪情节较轻案件，依法决定不批捕</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人，决定不起诉</w:t>
      </w:r>
      <w:r>
        <w:rPr>
          <w:rFonts w:hint="default" w:ascii="Times New Roman" w:hAnsi="Times New Roman" w:eastAsia="仿宋_GB2312" w:cs="Times New Roman"/>
          <w:kern w:val="0"/>
          <w:sz w:val="32"/>
          <w:szCs w:val="32"/>
        </w:rPr>
        <w:t>5</w:t>
      </w:r>
      <w:r>
        <w:rPr>
          <w:rFonts w:hint="default" w:ascii="仿宋_GB2312" w:hAnsi="Times New Roman" w:eastAsia="仿宋_GB2312" w:cs="仿宋_GB2312"/>
          <w:kern w:val="0"/>
          <w:sz w:val="32"/>
          <w:szCs w:val="32"/>
        </w:rPr>
        <w:t>件</w:t>
      </w:r>
      <w:r>
        <w:rPr>
          <w:rFonts w:hint="default" w:ascii="Times New Roman" w:hAnsi="Times New Roman" w:eastAsia="仿宋_GB2312" w:cs="Times New Roman"/>
          <w:kern w:val="0"/>
          <w:sz w:val="32"/>
          <w:szCs w:val="32"/>
        </w:rPr>
        <w:t>6</w:t>
      </w:r>
      <w:r>
        <w:rPr>
          <w:rFonts w:hint="default" w:ascii="仿宋_GB2312" w:hAnsi="Times New Roman" w:eastAsia="仿宋_GB2312" w:cs="仿宋_GB2312"/>
          <w:kern w:val="0"/>
          <w:sz w:val="32"/>
          <w:szCs w:val="32"/>
        </w:rPr>
        <w:t>人，对提起公诉的犯罪嫌疑人，推</w:t>
      </w:r>
      <w:r>
        <w:rPr>
          <w:rFonts w:hint="default" w:ascii="仿宋_GB2312" w:hAnsi="宋体" w:eastAsia="仿宋_GB2312" w:cs="仿宋_GB2312"/>
          <w:kern w:val="0"/>
          <w:sz w:val="32"/>
          <w:szCs w:val="32"/>
        </w:rPr>
        <w:t>行认罪认罚从宽处理并精准量刑</w:t>
      </w:r>
      <w:r>
        <w:rPr>
          <w:rFonts w:hint="default" w:ascii="Times New Roman" w:hAnsi="Times New Roman" w:eastAsia="仿宋_GB2312" w:cs="Times New Roman"/>
          <w:kern w:val="0"/>
          <w:sz w:val="32"/>
          <w:szCs w:val="32"/>
        </w:rPr>
        <w:t>248</w:t>
      </w:r>
      <w:r>
        <w:rPr>
          <w:rFonts w:hint="default" w:ascii="仿宋_GB2312" w:hAnsi="宋体" w:eastAsia="仿宋_GB2312" w:cs="仿宋_GB2312"/>
          <w:kern w:val="0"/>
          <w:sz w:val="32"/>
          <w:szCs w:val="32"/>
        </w:rPr>
        <w:t>人，认罪认罚适用率</w:t>
      </w:r>
      <w:r>
        <w:rPr>
          <w:rFonts w:hint="default" w:ascii="Times New Roman" w:hAnsi="Times New Roman" w:eastAsia="仿宋_GB2312" w:cs="Times New Roman"/>
          <w:kern w:val="0"/>
          <w:sz w:val="32"/>
          <w:szCs w:val="32"/>
        </w:rPr>
        <w:t>91.88%</w:t>
      </w:r>
      <w:r>
        <w:rPr>
          <w:rFonts w:hint="default" w:ascii="仿宋_GB2312" w:hAnsi="Times New Roman" w:eastAsia="仿宋_GB2312" w:cs="仿宋_GB2312"/>
          <w:kern w:val="0"/>
          <w:sz w:val="32"/>
          <w:szCs w:val="32"/>
        </w:rPr>
        <w:t>。对</w:t>
      </w:r>
      <w:r>
        <w:rPr>
          <w:rFonts w:hint="default" w:ascii="Times New Roman" w:hAnsi="Times New Roman" w:eastAsia="仿宋_GB2312" w:cs="Times New Roman"/>
          <w:kern w:val="0"/>
          <w:sz w:val="32"/>
          <w:szCs w:val="32"/>
        </w:rPr>
        <w:t>17</w:t>
      </w:r>
      <w:r>
        <w:rPr>
          <w:rFonts w:hint="default" w:ascii="仿宋_GB2312" w:hAnsi="Times New Roman" w:eastAsia="仿宋_GB2312" w:cs="仿宋_GB2312"/>
          <w:kern w:val="0"/>
          <w:sz w:val="32"/>
          <w:szCs w:val="32"/>
        </w:rPr>
        <w:t>人及时开展羁押必要性审查，对无羁押必要的</w:t>
      </w:r>
      <w:r>
        <w:rPr>
          <w:rFonts w:hint="default" w:ascii="Times New Roman" w:hAnsi="Times New Roman" w:eastAsia="仿宋_GB2312" w:cs="Times New Roman"/>
          <w:kern w:val="0"/>
          <w:sz w:val="32"/>
          <w:szCs w:val="32"/>
        </w:rPr>
        <w:t>7</w:t>
      </w:r>
      <w:r>
        <w:rPr>
          <w:rFonts w:hint="default" w:ascii="仿宋_GB2312" w:hAnsi="Times New Roman" w:eastAsia="仿宋_GB2312" w:cs="仿宋_GB2312"/>
          <w:kern w:val="0"/>
          <w:sz w:val="32"/>
          <w:szCs w:val="32"/>
        </w:rPr>
        <w:t>人提出变更建议或依法变更强制措施。依法履行检察监督权，监督公安机关立案</w:t>
      </w:r>
      <w:r>
        <w:rPr>
          <w:rFonts w:hint="default" w:ascii="Times New Roman" w:hAnsi="Times New Roman" w:eastAsia="仿宋_GB2312" w:cs="Times New Roman"/>
          <w:kern w:val="0"/>
          <w:sz w:val="32"/>
          <w:szCs w:val="32"/>
        </w:rPr>
        <w:t>2</w:t>
      </w:r>
      <w:r>
        <w:rPr>
          <w:rFonts w:hint="default" w:ascii="仿宋_GB2312" w:hAnsi="Times New Roman" w:eastAsia="仿宋_GB2312" w:cs="仿宋_GB2312"/>
          <w:kern w:val="0"/>
          <w:sz w:val="32"/>
          <w:szCs w:val="32"/>
        </w:rPr>
        <w:t>件，监督撤案</w:t>
      </w:r>
      <w:r>
        <w:rPr>
          <w:rFonts w:hint="default" w:ascii="Times New Roman" w:hAnsi="Times New Roman" w:eastAsia="仿宋_GB2312" w:cs="Times New Roman"/>
          <w:kern w:val="0"/>
          <w:sz w:val="32"/>
          <w:szCs w:val="32"/>
        </w:rPr>
        <w:t>3</w:t>
      </w:r>
      <w:r>
        <w:rPr>
          <w:rFonts w:hint="default" w:ascii="仿宋_GB2312" w:hAnsi="Times New Roman" w:eastAsia="仿宋_GB2312" w:cs="仿宋_GB2312"/>
          <w:kern w:val="0"/>
          <w:sz w:val="32"/>
          <w:szCs w:val="32"/>
        </w:rPr>
        <w:t>件，纠正漏捕</w:t>
      </w:r>
      <w:r>
        <w:rPr>
          <w:rFonts w:hint="default" w:ascii="Times New Roman" w:hAnsi="Times New Roman" w:eastAsia="仿宋_GB2312" w:cs="Times New Roman"/>
          <w:kern w:val="0"/>
          <w:sz w:val="32"/>
          <w:szCs w:val="32"/>
        </w:rPr>
        <w:t>1</w:t>
      </w:r>
      <w:r>
        <w:rPr>
          <w:rFonts w:hint="default" w:ascii="仿宋_GB2312" w:hAnsi="Times New Roman" w:eastAsia="仿宋_GB2312" w:cs="仿宋_GB2312"/>
          <w:kern w:val="0"/>
          <w:sz w:val="32"/>
          <w:szCs w:val="32"/>
        </w:rPr>
        <w:t>人，纠正遗漏同案犯</w:t>
      </w:r>
      <w:r>
        <w:rPr>
          <w:rFonts w:hint="default" w:ascii="Times New Roman" w:hAnsi="Times New Roman" w:eastAsia="仿宋_GB2312" w:cs="Times New Roman"/>
          <w:kern w:val="0"/>
          <w:sz w:val="32"/>
          <w:szCs w:val="32"/>
        </w:rPr>
        <w:t>8</w:t>
      </w:r>
      <w:r>
        <w:rPr>
          <w:rFonts w:hint="default" w:ascii="仿宋_GB2312" w:hAnsi="Times New Roman" w:eastAsia="仿宋_GB2312" w:cs="仿宋_GB2312"/>
          <w:kern w:val="0"/>
          <w:sz w:val="32"/>
          <w:szCs w:val="32"/>
        </w:rPr>
        <w:t>人。</w:t>
      </w:r>
      <w:r>
        <w:rPr>
          <w:rFonts w:hint="default" w:ascii="仿宋_GB2312" w:hAnsi="宋体" w:eastAsia="仿宋_GB2312" w:cs="仿宋_GB2312"/>
          <w:kern w:val="0"/>
          <w:sz w:val="32"/>
          <w:szCs w:val="32"/>
        </w:rPr>
        <w:t>加强刑事执行监督，开展财产刑执行、监外执行、看守所执行等检察监督，共发出纠正违法通</w:t>
      </w:r>
      <w:r>
        <w:rPr>
          <w:rFonts w:hint="default" w:ascii="仿宋_GB2312" w:hAnsi="Times New Roman" w:eastAsia="仿宋_GB2312" w:cs="仿宋_GB2312"/>
          <w:kern w:val="0"/>
          <w:sz w:val="32"/>
          <w:szCs w:val="32"/>
        </w:rPr>
        <w:t>知书</w:t>
      </w:r>
      <w:r>
        <w:rPr>
          <w:rFonts w:hint="default" w:ascii="Times New Roman" w:hAnsi="Times New Roman" w:eastAsia="仿宋_GB2312" w:cs="Times New Roman"/>
          <w:kern w:val="0"/>
          <w:sz w:val="32"/>
          <w:szCs w:val="32"/>
        </w:rPr>
        <w:t>5</w:t>
      </w:r>
      <w:r>
        <w:rPr>
          <w:rFonts w:hint="default" w:ascii="仿宋_GB2312" w:hAnsi="Times New Roman" w:eastAsia="仿宋_GB2312" w:cs="仿宋_GB2312"/>
          <w:kern w:val="0"/>
          <w:sz w:val="32"/>
          <w:szCs w:val="32"/>
        </w:rPr>
        <w:t>份</w:t>
      </w:r>
      <w:r>
        <w:rPr>
          <w:rFonts w:hint="default" w:ascii="仿宋_GB2312" w:hAnsi="宋体" w:eastAsia="仿宋_GB2312" w:cs="仿宋_GB2312"/>
          <w:kern w:val="0"/>
          <w:sz w:val="32"/>
          <w:szCs w:val="32"/>
        </w:rPr>
        <w:t>，检察</w:t>
      </w:r>
      <w:r>
        <w:rPr>
          <w:rFonts w:hint="default" w:ascii="仿宋_GB2312" w:hAnsi="宋体" w:eastAsia="仿宋_GB2312" w:cs="仿宋_GB2312"/>
          <w:color w:val="000000"/>
          <w:kern w:val="0"/>
          <w:sz w:val="32"/>
          <w:szCs w:val="32"/>
        </w:rPr>
        <w:t>建</w:t>
      </w:r>
      <w:r>
        <w:rPr>
          <w:rFonts w:hint="default" w:ascii="仿宋_GB2312" w:hAnsi="Times New Roman" w:eastAsia="仿宋_GB2312" w:cs="仿宋_GB2312"/>
          <w:kern w:val="0"/>
          <w:sz w:val="32"/>
          <w:szCs w:val="32"/>
        </w:rPr>
        <w:t>议</w:t>
      </w:r>
      <w:r>
        <w:rPr>
          <w:rFonts w:hint="default" w:ascii="Times New Roman" w:hAnsi="Times New Roman" w:eastAsia="仿宋_GB2312" w:cs="Times New Roman"/>
          <w:kern w:val="0"/>
          <w:sz w:val="32"/>
          <w:szCs w:val="32"/>
        </w:rPr>
        <w:t>1</w:t>
      </w:r>
      <w:r>
        <w:rPr>
          <w:rFonts w:hint="default" w:ascii="仿宋_GB2312" w:hAnsi="Times New Roman" w:eastAsia="仿宋_GB2312" w:cs="仿宋_GB2312"/>
          <w:kern w:val="0"/>
          <w:sz w:val="32"/>
          <w:szCs w:val="32"/>
        </w:rPr>
        <w:t>份</w:t>
      </w:r>
      <w:r>
        <w:rPr>
          <w:rFonts w:hint="default" w:ascii="仿宋_GB2312" w:hAnsi="宋体" w:eastAsia="仿宋_GB2312" w:cs="仿宋_GB2312"/>
          <w:color w:val="000000"/>
          <w:kern w:val="0"/>
          <w:sz w:val="32"/>
          <w:szCs w:val="32"/>
        </w:rPr>
        <w:t>。</w:t>
      </w:r>
      <w:r>
        <w:rPr>
          <w:rFonts w:hint="default" w:ascii="仿宋_GB2312" w:hAnsi="宋体" w:eastAsia="仿宋_GB2312" w:cs="仿宋_GB2312"/>
          <w:kern w:val="0"/>
          <w:sz w:val="32"/>
          <w:szCs w:val="32"/>
        </w:rPr>
        <w:t>侦查监督与协作配合办公室，有力助推重大疑难复杂案件顺利侦办质效，优化检警协作新格局。加强危险驾驶罪类案诉源治理，通过推行不起诉教育惩戒机制、向行政执法部门制发检察建议、组织驾驶员旁听集中庭审等举措，加强被不起诉人自我反省，预防新案发生。</w:t>
      </w:r>
    </w:p>
    <w:p>
      <w:pPr>
        <w:keepNext w:val="0"/>
        <w:keepLines w:val="0"/>
        <w:widowControl/>
        <w:suppressLineNumbers w:val="0"/>
        <w:ind w:left="0" w:firstLine="640" w:firstLineChars="200"/>
        <w:rPr>
          <w:rFonts w:hint="default" w:ascii="Times New Roman" w:hAnsi="Times New Roman" w:eastAsia="仿宋_GB2312" w:cs="宋体"/>
          <w:bCs/>
          <w:color w:val="000000"/>
          <w:kern w:val="0"/>
          <w:sz w:val="32"/>
          <w:szCs w:val="32"/>
        </w:rPr>
      </w:pPr>
      <w:r>
        <w:rPr>
          <w:rFonts w:hint="default" w:ascii="楷体_GB2312" w:eastAsia="楷体_GB2312" w:cs="楷体_GB2312"/>
          <w:kern w:val="0"/>
          <w:sz w:val="32"/>
          <w:szCs w:val="32"/>
        </w:rPr>
        <w:t>民事检察工作继续做强。</w:t>
      </w:r>
      <w:r>
        <w:rPr>
          <w:rFonts w:hint="default" w:ascii="仿宋_GB2312" w:hAnsi="Times New Roman" w:eastAsia="仿宋_GB2312" w:cs="仿宋_GB2312"/>
          <w:kern w:val="0"/>
          <w:sz w:val="32"/>
          <w:szCs w:val="32"/>
        </w:rPr>
        <w:t>办理民事检察监督案件</w:t>
      </w:r>
      <w:r>
        <w:rPr>
          <w:rFonts w:hint="default" w:ascii="Times New Roman" w:hAnsi="Times New Roman" w:eastAsia="仿宋_GB2312" w:cs="Times New Roman"/>
          <w:kern w:val="0"/>
          <w:sz w:val="32"/>
          <w:szCs w:val="32"/>
        </w:rPr>
        <w:t>18</w:t>
      </w:r>
      <w:r>
        <w:rPr>
          <w:rFonts w:hint="default" w:ascii="仿宋_GB2312" w:hAnsi="Times New Roman" w:eastAsia="仿宋_GB2312" w:cs="仿宋_GB2312"/>
          <w:kern w:val="0"/>
          <w:sz w:val="32"/>
          <w:szCs w:val="32"/>
        </w:rPr>
        <w:t>件，发出检察建议</w:t>
      </w:r>
      <w:r>
        <w:rPr>
          <w:rFonts w:hint="default" w:ascii="Times New Roman" w:hAnsi="Times New Roman" w:eastAsia="仿宋_GB2312" w:cs="Times New Roman"/>
          <w:kern w:val="0"/>
          <w:sz w:val="32"/>
          <w:szCs w:val="32"/>
        </w:rPr>
        <w:t>13</w:t>
      </w:r>
      <w:r>
        <w:rPr>
          <w:rFonts w:hint="default" w:ascii="仿宋_GB2312" w:hAnsi="Times New Roman" w:eastAsia="仿宋_GB2312" w:cs="仿宋_GB2312"/>
          <w:kern w:val="0"/>
          <w:sz w:val="32"/>
          <w:szCs w:val="32"/>
        </w:rPr>
        <w:t>件。在区政法委指导下，开展涉企执行案件专项监督活动，重点对区法院办理的涉企执行案件存在的问题进行监督。通过与区法院召开工作联席会，对发现的问题共同商讨解决途径，并将存在的问题分类发出检察建议</w:t>
      </w:r>
      <w:r>
        <w:rPr>
          <w:rFonts w:hint="default" w:ascii="Times New Roman" w:hAnsi="Times New Roman" w:eastAsia="仿宋_GB2312" w:cs="Times New Roman"/>
          <w:kern w:val="0"/>
          <w:sz w:val="32"/>
          <w:szCs w:val="32"/>
        </w:rPr>
        <w:t>5</w:t>
      </w:r>
      <w:r>
        <w:rPr>
          <w:rFonts w:hint="default" w:ascii="仿宋_GB2312" w:hAnsi="Times New Roman" w:eastAsia="仿宋_GB2312" w:cs="仿宋_GB2312"/>
          <w:kern w:val="0"/>
          <w:sz w:val="32"/>
          <w:szCs w:val="32"/>
        </w:rPr>
        <w:t>份，提升各类企业在我区投资、经营的信心，保障我区社会经济平稳健康发展。</w:t>
      </w:r>
      <w:r>
        <w:rPr>
          <w:rFonts w:hint="default" w:ascii="仿宋_GB2312" w:hAnsi="仿宋" w:eastAsia="仿宋_GB2312" w:cs="仿宋_GB2312"/>
          <w:kern w:val="0"/>
          <w:sz w:val="32"/>
          <w:szCs w:val="32"/>
        </w:rPr>
        <w:t>对办理的两起涉企民事监督案，主动向申请人释法说理，促使</w:t>
      </w:r>
      <w:r>
        <w:rPr>
          <w:rFonts w:hint="default" w:ascii="仿宋_GB2312" w:eastAsia="仿宋_GB2312" w:cs="仿宋_GB2312"/>
          <w:kern w:val="0"/>
          <w:sz w:val="32"/>
          <w:szCs w:val="32"/>
        </w:rPr>
        <w:t>申请人从不理解到自愿息诉罢访，</w:t>
      </w:r>
      <w:r>
        <w:rPr>
          <w:rFonts w:hint="default" w:ascii="仿宋_GB2312" w:hAnsi="仿宋" w:eastAsia="仿宋_GB2312" w:cs="仿宋_GB2312"/>
          <w:kern w:val="0"/>
          <w:sz w:val="32"/>
          <w:szCs w:val="32"/>
        </w:rPr>
        <w:t>检察官</w:t>
      </w:r>
      <w:r>
        <w:rPr>
          <w:rFonts w:hint="default" w:ascii="仿宋_GB2312" w:eastAsia="仿宋_GB2312" w:cs="仿宋_GB2312"/>
          <w:kern w:val="0"/>
          <w:sz w:val="32"/>
          <w:szCs w:val="32"/>
        </w:rPr>
        <w:t>主动到企业调研，协助解决企业难处和司法诉求，当好小微企业“法治医生”，</w:t>
      </w:r>
      <w:r>
        <w:rPr>
          <w:rFonts w:hint="default" w:ascii="仿宋_GB2312" w:hAnsi="Times New Roman" w:eastAsia="仿宋_GB2312" w:cs="仿宋_GB2312"/>
          <w:bCs/>
          <w:color w:val="000000"/>
          <w:kern w:val="0"/>
          <w:sz w:val="32"/>
          <w:szCs w:val="32"/>
        </w:rPr>
        <w:t>护航民营企业有序发展。</w:t>
      </w:r>
    </w:p>
    <w:p>
      <w:pPr>
        <w:keepNext w:val="0"/>
        <w:keepLines w:val="0"/>
        <w:widowControl/>
        <w:suppressLineNumbers w:val="0"/>
        <w:spacing w:line="579" w:lineRule="exact"/>
        <w:ind w:left="0" w:firstLine="640" w:firstLineChars="200"/>
        <w:rPr>
          <w:rFonts w:hint="default" w:ascii="仿宋_GB2312" w:hAnsi="宋体" w:eastAsia="仿宋_GB2312" w:cs="宋体"/>
          <w:kern w:val="0"/>
          <w:sz w:val="32"/>
          <w:szCs w:val="32"/>
        </w:rPr>
      </w:pPr>
      <w:r>
        <w:rPr>
          <w:rFonts w:hint="default" w:ascii="楷体_GB2312" w:eastAsia="楷体_GB2312" w:cs="楷体_GB2312"/>
          <w:kern w:val="0"/>
          <w:sz w:val="32"/>
          <w:szCs w:val="32"/>
        </w:rPr>
        <w:t>行政检察工作持续做实。</w:t>
      </w:r>
      <w:r>
        <w:rPr>
          <w:rFonts w:hint="default" w:ascii="仿宋_GB2312" w:hAnsi="宋体" w:eastAsia="仿宋_GB2312" w:cs="仿宋_GB2312"/>
          <w:kern w:val="0"/>
          <w:sz w:val="32"/>
          <w:szCs w:val="32"/>
        </w:rPr>
        <w:t>办理行政检察监督</w:t>
      </w:r>
      <w:r>
        <w:rPr>
          <w:rFonts w:hint="default" w:ascii="仿宋_GB2312" w:hAnsi="Times New Roman" w:eastAsia="仿宋_GB2312" w:cs="仿宋_GB2312"/>
          <w:kern w:val="0"/>
          <w:sz w:val="32"/>
          <w:szCs w:val="32"/>
        </w:rPr>
        <w:t>案件</w:t>
      </w:r>
      <w:r>
        <w:rPr>
          <w:rFonts w:hint="default" w:ascii="Times New Roman" w:hAnsi="Times New Roman" w:eastAsia="仿宋_GB2312" w:cs="Times New Roman"/>
          <w:kern w:val="0"/>
          <w:sz w:val="32"/>
          <w:szCs w:val="32"/>
        </w:rPr>
        <w:t>17</w:t>
      </w:r>
      <w:r>
        <w:rPr>
          <w:rFonts w:hint="default" w:ascii="仿宋_GB2312" w:hAnsi="Times New Roman" w:eastAsia="仿宋_GB2312" w:cs="仿宋_GB2312"/>
          <w:kern w:val="0"/>
          <w:sz w:val="32"/>
          <w:szCs w:val="32"/>
        </w:rPr>
        <w:t>件，制发检察建议</w:t>
      </w:r>
      <w:r>
        <w:rPr>
          <w:rFonts w:hint="default" w:ascii="Times New Roman" w:hAnsi="Times New Roman" w:eastAsia="仿宋_GB2312" w:cs="Times New Roman"/>
          <w:kern w:val="0"/>
          <w:sz w:val="32"/>
          <w:szCs w:val="32"/>
        </w:rPr>
        <w:t>17</w:t>
      </w:r>
      <w:r>
        <w:rPr>
          <w:rFonts w:hint="default" w:ascii="仿宋_GB2312" w:hAnsi="Times New Roman" w:eastAsia="仿宋_GB2312" w:cs="仿宋_GB2312"/>
          <w:kern w:val="0"/>
          <w:sz w:val="32"/>
          <w:szCs w:val="32"/>
        </w:rPr>
        <w:t>份</w:t>
      </w:r>
      <w:r>
        <w:rPr>
          <w:rFonts w:hint="default" w:ascii="仿宋_GB2312" w:hAnsi="宋体" w:eastAsia="仿宋_GB2312" w:cs="仿宋_GB2312"/>
          <w:kern w:val="0"/>
          <w:sz w:val="32"/>
          <w:szCs w:val="32"/>
        </w:rPr>
        <w:t>。深化行政检察监督护航民生民利，开展“整治停车难小专项”活动，针对路缘石过高、停车位路面破损、停车位被占用等突出问题向相关行政机关制发检察建议，督促整改落实，方便群众停车。开展农资产品保护专项监督活动，会同行政机关对农资销售门市进行执法监督，就发现的无购销台账、无农药回收记录、处罚程序不当等问题向主管单位制发检察建</w:t>
      </w:r>
      <w:r>
        <w:rPr>
          <w:rFonts w:hint="default" w:ascii="仿宋_GB2312" w:hAnsi="Times New Roman" w:eastAsia="仿宋_GB2312" w:cs="仿宋_GB2312"/>
          <w:kern w:val="0"/>
          <w:sz w:val="32"/>
          <w:szCs w:val="32"/>
        </w:rPr>
        <w:t>议</w:t>
      </w:r>
      <w:r>
        <w:rPr>
          <w:rFonts w:hint="default" w:ascii="Times New Roman" w:hAnsi="Times New Roman" w:eastAsia="仿宋_GB2312" w:cs="Times New Roman"/>
          <w:kern w:val="0"/>
          <w:sz w:val="32"/>
          <w:szCs w:val="32"/>
        </w:rPr>
        <w:t>2</w:t>
      </w:r>
      <w:r>
        <w:rPr>
          <w:rFonts w:hint="default" w:ascii="仿宋_GB2312" w:hAnsi="Times New Roman" w:eastAsia="仿宋_GB2312" w:cs="仿宋_GB2312"/>
          <w:kern w:val="0"/>
          <w:sz w:val="32"/>
          <w:szCs w:val="32"/>
        </w:rPr>
        <w:t>份，促进</w:t>
      </w:r>
      <w:r>
        <w:rPr>
          <w:rFonts w:hint="default" w:ascii="仿宋_GB2312" w:hAnsi="宋体" w:eastAsia="仿宋_GB2312" w:cs="仿宋_GB2312"/>
          <w:kern w:val="0"/>
          <w:sz w:val="32"/>
          <w:szCs w:val="32"/>
        </w:rPr>
        <w:t>农资市场规范经营。深入落实“八号检察建议”，助推安全生产溯源治理。在办理市院交办的一起行政执法案件时，发现涉案公司存在安全生产隐患，办案机关存在行刑衔接不畅的问题，我院从依法全面履职、开展业务培训、加强联动协作和注重综合治理四个方面提出检察建议，促进行政机关依法行政，以案件“小切口”解决安全生产“大问题”，后期该单位协调多家单位联合开展了对全区危险品存放安全大检查，切实保障安全稳定有序的生产生活环境。</w:t>
      </w:r>
    </w:p>
    <w:p>
      <w:pPr>
        <w:keepNext w:val="0"/>
        <w:keepLines w:val="0"/>
        <w:widowControl/>
        <w:suppressLineNumbers w:val="0"/>
        <w:spacing w:line="579" w:lineRule="exact"/>
        <w:ind w:left="0" w:firstLine="640" w:firstLineChars="200"/>
        <w:rPr>
          <w:rFonts w:hint="default" w:ascii="Times New Roman" w:hAnsi="Times New Roman" w:eastAsia="仿宋_GB2312" w:cs="Times New Roman"/>
          <w:kern w:val="0"/>
          <w:sz w:val="32"/>
          <w:szCs w:val="32"/>
        </w:rPr>
      </w:pPr>
      <w:r>
        <w:rPr>
          <w:rFonts w:hint="default" w:ascii="楷体_GB2312" w:eastAsia="楷体_GB2312" w:cs="楷体_GB2312"/>
          <w:kern w:val="0"/>
          <w:sz w:val="32"/>
          <w:szCs w:val="32"/>
        </w:rPr>
        <w:t>公益诉讼检察工作稳中向好。</w:t>
      </w:r>
      <w:r>
        <w:rPr>
          <w:rFonts w:hint="default" w:ascii="仿宋_GB2312" w:hAnsi="Times New Roman" w:eastAsia="仿宋_GB2312" w:cs="仿宋_GB2312"/>
          <w:kern w:val="0"/>
          <w:sz w:val="32"/>
          <w:szCs w:val="32"/>
        </w:rPr>
        <w:t>办理公益诉讼案件</w:t>
      </w:r>
      <w:r>
        <w:rPr>
          <w:rFonts w:hint="default" w:ascii="Times New Roman" w:hAnsi="Times New Roman" w:eastAsia="仿宋_GB2312" w:cs="Times New Roman"/>
          <w:kern w:val="0"/>
          <w:sz w:val="32"/>
          <w:szCs w:val="32"/>
        </w:rPr>
        <w:t>28</w:t>
      </w:r>
      <w:r>
        <w:rPr>
          <w:rFonts w:hint="default" w:ascii="仿宋_GB2312" w:hAnsi="Times New Roman" w:eastAsia="仿宋_GB2312" w:cs="仿宋_GB2312"/>
          <w:kern w:val="0"/>
          <w:sz w:val="32"/>
          <w:szCs w:val="32"/>
        </w:rPr>
        <w:t>件，其中行政公益诉讼</w:t>
      </w:r>
      <w:r>
        <w:rPr>
          <w:rFonts w:hint="default" w:ascii="Times New Roman" w:hAnsi="Times New Roman" w:eastAsia="仿宋_GB2312" w:cs="Times New Roman"/>
          <w:kern w:val="0"/>
          <w:sz w:val="32"/>
          <w:szCs w:val="32"/>
        </w:rPr>
        <w:t>27</w:t>
      </w:r>
      <w:r>
        <w:rPr>
          <w:rFonts w:hint="default" w:ascii="仿宋_GB2312" w:hAnsi="Times New Roman" w:eastAsia="仿宋_GB2312" w:cs="仿宋_GB2312"/>
          <w:kern w:val="0"/>
          <w:sz w:val="32"/>
          <w:szCs w:val="32"/>
        </w:rPr>
        <w:t>件，刑事附带民事公益诉讼案件</w:t>
      </w:r>
      <w:r>
        <w:rPr>
          <w:rFonts w:hint="default" w:ascii="Times New Roman" w:hAnsi="Times New Roman" w:eastAsia="仿宋_GB2312" w:cs="Times New Roman"/>
          <w:kern w:val="0"/>
          <w:sz w:val="32"/>
          <w:szCs w:val="32"/>
        </w:rPr>
        <w:t>1</w:t>
      </w:r>
      <w:r>
        <w:rPr>
          <w:rFonts w:hint="default" w:ascii="仿宋_GB2312" w:hAnsi="Times New Roman" w:eastAsia="仿宋_GB2312" w:cs="仿宋_GB2312"/>
          <w:kern w:val="0"/>
          <w:sz w:val="32"/>
          <w:szCs w:val="32"/>
        </w:rPr>
        <w:t>件。发出诉前检察建议</w:t>
      </w:r>
      <w:r>
        <w:rPr>
          <w:rFonts w:hint="default" w:ascii="Times New Roman" w:hAnsi="Times New Roman" w:eastAsia="仿宋_GB2312" w:cs="Times New Roman"/>
          <w:kern w:val="0"/>
          <w:sz w:val="32"/>
          <w:szCs w:val="32"/>
        </w:rPr>
        <w:t>26</w:t>
      </w:r>
      <w:r>
        <w:rPr>
          <w:rFonts w:hint="default" w:ascii="仿宋_GB2312" w:hAnsi="Times New Roman" w:eastAsia="仿宋_GB2312" w:cs="仿宋_GB2312"/>
          <w:kern w:val="0"/>
          <w:sz w:val="32"/>
          <w:szCs w:val="32"/>
        </w:rPr>
        <w:t>件，行政单位整改回复率</w:t>
      </w:r>
      <w:r>
        <w:rPr>
          <w:rFonts w:hint="default" w:ascii="Times New Roman" w:hAnsi="Times New Roman" w:eastAsia="仿宋_GB2312" w:cs="Times New Roman"/>
          <w:kern w:val="0"/>
          <w:sz w:val="32"/>
          <w:szCs w:val="32"/>
        </w:rPr>
        <w:t>100%</w:t>
      </w:r>
      <w:r>
        <w:rPr>
          <w:rFonts w:hint="default" w:ascii="仿宋_GB2312" w:hAnsi="Times New Roman" w:eastAsia="仿宋_GB2312" w:cs="仿宋_GB2312"/>
          <w:kern w:val="0"/>
          <w:sz w:val="32"/>
          <w:szCs w:val="32"/>
        </w:rPr>
        <w:t>。会同行政机关对平庄城区</w:t>
      </w:r>
      <w:r>
        <w:rPr>
          <w:rFonts w:hint="default" w:ascii="Times New Roman" w:hAnsi="Times New Roman" w:eastAsia="仿宋_GB2312" w:cs="Times New Roman"/>
          <w:kern w:val="0"/>
          <w:sz w:val="32"/>
          <w:szCs w:val="32"/>
        </w:rPr>
        <w:t>2</w:t>
      </w:r>
      <w:r>
        <w:rPr>
          <w:rFonts w:hint="default" w:ascii="仿宋_GB2312" w:hAnsi="Times New Roman" w:eastAsia="仿宋_GB2312" w:cs="仿宋_GB2312"/>
          <w:kern w:val="0"/>
          <w:sz w:val="32"/>
          <w:szCs w:val="32"/>
        </w:rPr>
        <w:t>个大型农贸市场进行食品安全检察监督活动，就食品分区销售问题，向相关部门制发检察建议，规范市场经营管理秩序，保障人民群众“舌尖上”的安全。开展国有土地使用权出让领域检察监督活动，</w:t>
      </w:r>
      <w:r>
        <w:rPr>
          <w:rFonts w:hint="default" w:ascii="仿宋_GB2312" w:eastAsia="仿宋_GB2312" w:cs="仿宋_GB2312"/>
          <w:kern w:val="0"/>
          <w:sz w:val="32"/>
          <w:szCs w:val="32"/>
        </w:rPr>
        <w:t>推动整治</w:t>
      </w:r>
      <w:r>
        <w:rPr>
          <w:rFonts w:hint="default" w:ascii="Times New Roman" w:hAnsi="Times New Roman" w:eastAsia="仿宋_GB2312" w:cs="Times New Roman"/>
          <w:kern w:val="0"/>
          <w:sz w:val="32"/>
          <w:szCs w:val="32"/>
        </w:rPr>
        <w:t>14529.74</w:t>
      </w:r>
      <w:r>
        <w:rPr>
          <w:rFonts w:hint="default" w:ascii="仿宋_GB2312" w:hAnsi="Times New Roman" w:eastAsia="仿宋_GB2312" w:cs="仿宋_GB2312"/>
          <w:kern w:val="0"/>
          <w:sz w:val="32"/>
          <w:szCs w:val="32"/>
        </w:rPr>
        <w:t>平</w:t>
      </w:r>
      <w:r>
        <w:rPr>
          <w:rFonts w:hint="default" w:ascii="仿宋_GB2312" w:eastAsia="仿宋_GB2312" w:cs="仿宋_GB2312"/>
          <w:kern w:val="0"/>
          <w:sz w:val="32"/>
          <w:szCs w:val="32"/>
        </w:rPr>
        <w:t>方米闲置低效国有土地</w:t>
      </w:r>
      <w:r>
        <w:rPr>
          <w:rFonts w:hint="default" w:ascii="仿宋_GB2312" w:hAnsi="Times New Roman" w:eastAsia="仿宋_GB2312" w:cs="仿宋_GB2312"/>
          <w:kern w:val="0"/>
          <w:sz w:val="32"/>
          <w:szCs w:val="32"/>
        </w:rPr>
        <w:t>，检察建议助推国有土地土地合理开发利用。同时持续开展农用薄膜整治、露天焚烧秸秆整治、垃圾整治、河湖“清四乱”、英烈设施保护等专项监督活动，切实提升城乡人居环境质量，加强生态环境高水平保护。</w:t>
      </w:r>
    </w:p>
    <w:p>
      <w:pPr>
        <w:pStyle w:val="6"/>
        <w:keepNext w:val="0"/>
        <w:keepLines w:val="0"/>
        <w:widowControl/>
        <w:suppressLineNumbers w:val="0"/>
        <w:ind w:left="0" w:leftChars="0" w:firstLine="640"/>
        <w:rPr>
          <w:rFonts w:hint="eastAsia" w:ascii="黑体" w:hAnsi="宋体" w:eastAsia="黑体" w:cs="宋体"/>
          <w:color w:val="000000"/>
          <w:kern w:val="0"/>
          <w:sz w:val="32"/>
          <w:szCs w:val="32"/>
        </w:rPr>
      </w:pPr>
      <w:r>
        <w:rPr>
          <w:rFonts w:hint="eastAsia" w:ascii="黑体" w:hAnsi="宋体" w:eastAsia="黑体" w:cs="黑体"/>
          <w:kern w:val="0"/>
          <w:sz w:val="32"/>
          <w:szCs w:val="32"/>
        </w:rPr>
        <w:t>三、坚持守正创新</w:t>
      </w:r>
      <w:r>
        <w:rPr>
          <w:rFonts w:hint="eastAsia" w:ascii="黑体" w:hAnsi="宋体" w:eastAsia="黑体" w:cs="黑体"/>
          <w:color w:val="000000"/>
          <w:kern w:val="0"/>
          <w:sz w:val="32"/>
          <w:szCs w:val="32"/>
        </w:rPr>
        <w:t>，以自身建设夯实检察发展根基</w:t>
      </w:r>
    </w:p>
    <w:p>
      <w:pPr>
        <w:keepNext w:val="0"/>
        <w:keepLines w:val="0"/>
        <w:widowControl/>
        <w:suppressLineNumbers w:val="0"/>
        <w:spacing w:line="579" w:lineRule="exact"/>
        <w:ind w:left="0" w:firstLine="640" w:firstLineChars="200"/>
        <w:rPr>
          <w:rFonts w:hint="default" w:ascii="仿宋_GB2312" w:hAnsi="宋体" w:eastAsia="仿宋_GB2312" w:cs="仿宋_GB2312"/>
          <w:kern w:val="0"/>
          <w:sz w:val="32"/>
          <w:szCs w:val="32"/>
        </w:rPr>
      </w:pPr>
      <w:r>
        <w:rPr>
          <w:rFonts w:hint="default" w:ascii="楷体_GB2312" w:eastAsia="楷体_GB2312" w:cs="楷体_GB2312"/>
          <w:bCs/>
          <w:kern w:val="0"/>
          <w:sz w:val="32"/>
          <w:szCs w:val="32"/>
        </w:rPr>
        <w:t>坚持党的领导，高水平锻造检察队伍。</w:t>
      </w:r>
      <w:r>
        <w:rPr>
          <w:rFonts w:hint="default" w:ascii="仿宋_GB2312" w:hAnsi="宋体" w:eastAsia="仿宋_GB2312" w:cs="仿宋_GB2312"/>
          <w:kern w:val="0"/>
          <w:sz w:val="32"/>
          <w:szCs w:val="32"/>
        </w:rPr>
        <w:t>多形式学思践悟党的二十大报告及习近平总书记重要论述精神，推动检察工作高质量发展。从政治教育、制度保障、阵地建设、网络宣传四方面落实好意识形态工作责任，抓好铸牢中华民族共同体意识这条主线，深化民族团结进步教育。精心培育“检察蓝映衬党旗红”党建品牌，强化党员教育管理，组织党组理论中心组学习</w:t>
      </w:r>
      <w:r>
        <w:rPr>
          <w:rFonts w:hint="default" w:ascii="Times New Roman" w:hAnsi="Times New Roman" w:eastAsia="仿宋_GB2312" w:cs="Times New Roman"/>
          <w:kern w:val="0"/>
          <w:sz w:val="32"/>
          <w:szCs w:val="32"/>
        </w:rPr>
        <w:t>7</w:t>
      </w:r>
      <w:r>
        <w:rPr>
          <w:rFonts w:hint="default" w:ascii="仿宋_GB2312" w:hAnsi="宋体" w:eastAsia="仿宋_GB2312" w:cs="仿宋_GB2312"/>
          <w:kern w:val="0"/>
          <w:sz w:val="32"/>
          <w:szCs w:val="32"/>
        </w:rPr>
        <w:t>次，研讨交</w:t>
      </w:r>
      <w:r>
        <w:rPr>
          <w:rFonts w:hint="default" w:ascii="仿宋_GB2312" w:hAnsi="Times New Roman" w:eastAsia="仿宋_GB2312" w:cs="仿宋_GB2312"/>
          <w:kern w:val="0"/>
          <w:sz w:val="32"/>
          <w:szCs w:val="32"/>
        </w:rPr>
        <w:t>流</w:t>
      </w:r>
      <w:r>
        <w:rPr>
          <w:rFonts w:hint="default" w:ascii="Times New Roman" w:hAnsi="Times New Roman" w:eastAsia="仿宋_GB2312" w:cs="Times New Roman"/>
          <w:kern w:val="0"/>
          <w:sz w:val="32"/>
          <w:szCs w:val="32"/>
        </w:rPr>
        <w:t>3</w:t>
      </w:r>
      <w:r>
        <w:rPr>
          <w:rFonts w:hint="default" w:ascii="仿宋_GB2312" w:hAnsi="Times New Roman" w:eastAsia="仿宋_GB2312" w:cs="仿宋_GB2312"/>
          <w:kern w:val="0"/>
          <w:sz w:val="32"/>
          <w:szCs w:val="32"/>
        </w:rPr>
        <w:t>次，院领导讲党课</w:t>
      </w:r>
      <w:r>
        <w:rPr>
          <w:rFonts w:hint="default" w:ascii="Times New Roman" w:hAnsi="Times New Roman" w:eastAsia="仿宋_GB2312" w:cs="Times New Roman"/>
          <w:kern w:val="0"/>
          <w:sz w:val="32"/>
          <w:szCs w:val="32"/>
        </w:rPr>
        <w:t>4</w:t>
      </w:r>
      <w:r>
        <w:rPr>
          <w:rFonts w:hint="default" w:ascii="仿宋_GB2312" w:hAnsi="Times New Roman" w:eastAsia="仿宋_GB2312" w:cs="仿宋_GB2312"/>
          <w:kern w:val="0"/>
          <w:sz w:val="32"/>
          <w:szCs w:val="32"/>
        </w:rPr>
        <w:t>次。</w:t>
      </w:r>
      <w:r>
        <w:rPr>
          <w:rFonts w:hint="default" w:ascii="仿宋_GB2312" w:hAnsi="宋体" w:eastAsia="仿宋_GB2312" w:cs="仿宋_GB2312"/>
          <w:kern w:val="0"/>
          <w:sz w:val="32"/>
          <w:szCs w:val="32"/>
        </w:rPr>
        <w:t>落实好“三会一课”制度、领导干部“一岗双责”责任，深化党建“三五三”工作机制，规范支部建设，</w:t>
      </w:r>
      <w:r>
        <w:rPr>
          <w:rFonts w:hint="default" w:ascii="仿宋_GB2312" w:hAnsi="Times New Roman" w:eastAsia="仿宋_GB2312" w:cs="仿宋_GB2312"/>
          <w:kern w:val="0"/>
          <w:sz w:val="32"/>
          <w:szCs w:val="32"/>
        </w:rPr>
        <w:t>院党支部被区委授予“最强党支部”荣誉称号。</w:t>
      </w:r>
    </w:p>
    <w:p>
      <w:pPr>
        <w:keepNext w:val="0"/>
        <w:keepLines w:val="0"/>
        <w:widowControl/>
        <w:suppressLineNumbers w:val="0"/>
        <w:spacing w:line="579" w:lineRule="exact"/>
        <w:ind w:left="0" w:firstLine="640" w:firstLineChars="200"/>
        <w:rPr>
          <w:rFonts w:hint="default" w:ascii="Times New Roman" w:hAnsi="Times New Roman" w:eastAsia="仿宋_GB2312" w:cs="Times New Roman"/>
          <w:kern w:val="0"/>
          <w:sz w:val="32"/>
          <w:szCs w:val="32"/>
        </w:rPr>
      </w:pPr>
      <w:r>
        <w:rPr>
          <w:rFonts w:hint="default" w:ascii="楷体_GB2312" w:eastAsia="楷体_GB2312" w:cs="楷体_GB2312"/>
          <w:bCs/>
          <w:kern w:val="0"/>
          <w:sz w:val="32"/>
          <w:szCs w:val="32"/>
        </w:rPr>
        <w:t>强化纪律作风，高标准夯实履职担当。</w:t>
      </w:r>
      <w:r>
        <w:rPr>
          <w:rFonts w:hint="default" w:ascii="仿宋_GB2312" w:hAnsi="宋体" w:eastAsia="仿宋_GB2312" w:cs="仿宋_GB2312"/>
          <w:kern w:val="0"/>
          <w:sz w:val="32"/>
          <w:szCs w:val="32"/>
        </w:rPr>
        <w:t>严格执行“三重一大”“八项规定”和“三个规定”等相关制度，持续深化全面从严管党治检，开展《中国共产党政法工作条例》贯彻落实情况自查整改。通过集中学习、研讨交流和领导干部上讲台等形式深化党史学习教育和政法队伍教育整顿成果。扎实组织开展集中治理党内政治生活庸俗化交易化问题工作</w:t>
      </w:r>
      <w:r>
        <w:rPr>
          <w:rFonts w:hint="default" w:ascii="仿宋_GB2312" w:hAnsi="Times New Roman" w:eastAsia="仿宋_GB2312" w:cs="仿宋_GB2312"/>
          <w:kern w:val="0"/>
          <w:sz w:val="32"/>
          <w:szCs w:val="32"/>
        </w:rPr>
        <w:t>，加强和规范党内政治生活。持续做好过问、干预、插手检察办案等重大事项记录报告工作，全年共报告</w:t>
      </w:r>
      <w:r>
        <w:rPr>
          <w:rFonts w:hint="default" w:ascii="Times New Roman" w:hAnsi="Times New Roman" w:eastAsia="仿宋_GB2312" w:cs="Times New Roman"/>
          <w:kern w:val="0"/>
          <w:sz w:val="32"/>
          <w:szCs w:val="32"/>
        </w:rPr>
        <w:t>12</w:t>
      </w:r>
      <w:r>
        <w:rPr>
          <w:rFonts w:hint="default" w:ascii="仿宋_GB2312" w:hAnsi="Times New Roman" w:eastAsia="仿宋_GB2312" w:cs="仿宋_GB2312"/>
          <w:kern w:val="0"/>
          <w:sz w:val="32"/>
          <w:szCs w:val="32"/>
        </w:rPr>
        <w:t>人</w:t>
      </w:r>
      <w:r>
        <w:rPr>
          <w:rFonts w:hint="default" w:ascii="Times New Roman" w:hAnsi="Times New Roman" w:eastAsia="仿宋_GB2312" w:cs="Times New Roman"/>
          <w:kern w:val="0"/>
          <w:sz w:val="32"/>
          <w:szCs w:val="32"/>
        </w:rPr>
        <w:t>12</w:t>
      </w:r>
      <w:r>
        <w:rPr>
          <w:rFonts w:hint="default" w:ascii="仿宋_GB2312" w:hAnsi="Times New Roman" w:eastAsia="仿宋_GB2312" w:cs="仿宋_GB2312"/>
          <w:kern w:val="0"/>
          <w:sz w:val="32"/>
          <w:szCs w:val="32"/>
        </w:rPr>
        <w:t>件。</w:t>
      </w:r>
    </w:p>
    <w:p>
      <w:pPr>
        <w:pStyle w:val="5"/>
        <w:keepNext w:val="0"/>
        <w:keepLines w:val="0"/>
        <w:widowControl/>
        <w:suppressLineNumbers w:val="0"/>
        <w:spacing w:line="579" w:lineRule="exact"/>
        <w:ind w:left="0" w:firstLine="640" w:firstLineChars="200"/>
        <w:jc w:val="both"/>
        <w:rPr>
          <w:rFonts w:hint="default" w:ascii="Times New Roman" w:hAnsi="Times New Roman" w:eastAsia="仿宋_GB2312" w:cs="Times New Roman"/>
          <w:kern w:val="0"/>
          <w:sz w:val="32"/>
          <w:szCs w:val="32"/>
        </w:rPr>
      </w:pPr>
      <w:r>
        <w:rPr>
          <w:rFonts w:hint="default" w:ascii="楷体_GB2312" w:eastAsia="楷体_GB2312" w:cs="楷体_GB2312"/>
          <w:bCs/>
          <w:kern w:val="0"/>
          <w:sz w:val="32"/>
          <w:szCs w:val="32"/>
        </w:rPr>
        <w:t>抓实素能建设，高质量履行法律监督职责。</w:t>
      </w:r>
      <w:r>
        <w:rPr>
          <w:rFonts w:hint="default" w:ascii="仿宋_GB2312" w:eastAsia="仿宋_GB2312" w:cs="仿宋_GB2312"/>
          <w:kern w:val="0"/>
          <w:sz w:val="32"/>
          <w:szCs w:val="32"/>
          <w:shd w:val="clear" w:fill="FFFFFF"/>
        </w:rPr>
        <w:t>聘任来自</w:t>
      </w:r>
      <w:r>
        <w:rPr>
          <w:rFonts w:hint="default" w:ascii="Times New Roman" w:hAnsi="Times New Roman" w:eastAsia="仿宋_GB2312" w:cs="Times New Roman"/>
          <w:kern w:val="0"/>
          <w:sz w:val="32"/>
          <w:szCs w:val="32"/>
        </w:rPr>
        <w:t>14</w:t>
      </w:r>
      <w:r>
        <w:rPr>
          <w:rFonts w:hint="default" w:ascii="仿宋_GB2312" w:hAnsi="Times New Roman" w:eastAsia="仿宋_GB2312" w:cs="仿宋_GB2312"/>
          <w:kern w:val="0"/>
          <w:sz w:val="32"/>
          <w:szCs w:val="32"/>
        </w:rPr>
        <w:t>家行政单位的</w:t>
      </w:r>
      <w:r>
        <w:rPr>
          <w:rFonts w:hint="default" w:ascii="Times New Roman" w:hAnsi="Times New Roman" w:eastAsia="仿宋_GB2312" w:cs="Times New Roman"/>
          <w:kern w:val="0"/>
          <w:sz w:val="32"/>
          <w:szCs w:val="32"/>
        </w:rPr>
        <w:t>21</w:t>
      </w:r>
      <w:r>
        <w:rPr>
          <w:rFonts w:hint="default" w:ascii="仿宋_GB2312" w:hAnsi="Times New Roman" w:eastAsia="仿宋_GB2312" w:cs="仿宋_GB2312"/>
          <w:kern w:val="0"/>
          <w:sz w:val="32"/>
          <w:szCs w:val="32"/>
        </w:rPr>
        <w:t>名专家人才兼任检察官助理，丰富检察干</w:t>
      </w:r>
      <w:r>
        <w:rPr>
          <w:rFonts w:hint="default" w:ascii="仿宋_GB2312" w:eastAsia="仿宋_GB2312" w:cs="仿宋_GB2312"/>
          <w:kern w:val="0"/>
          <w:sz w:val="32"/>
          <w:szCs w:val="32"/>
          <w:shd w:val="clear" w:fill="FFFFFF"/>
        </w:rPr>
        <w:t>警在金融、知识产权和食品</w:t>
      </w:r>
      <w:r>
        <w:rPr>
          <w:rFonts w:hint="default" w:ascii="仿宋_GB2312" w:hAnsi="宋体" w:eastAsia="仿宋_GB2312" w:cs="仿宋_GB2312"/>
          <w:kern w:val="0"/>
          <w:sz w:val="32"/>
          <w:szCs w:val="32"/>
        </w:rPr>
        <w:t>药品等领域的知识储备，弥补专业知识短板。拓宽</w:t>
      </w:r>
      <w:r>
        <w:rPr>
          <w:rFonts w:hint="default" w:ascii="仿宋_GB2312" w:hAnsi="宋体" w:eastAsia="仿宋_GB2312" w:cs="仿宋_GB2312"/>
          <w:kern w:val="0"/>
          <w:sz w:val="32"/>
          <w:szCs w:val="32"/>
          <w:shd w:val="clear" w:fill="FFFFFF"/>
        </w:rPr>
        <w:t>思路抓实教育培训，组织干警参加各级各类业务培训</w:t>
      </w:r>
      <w:r>
        <w:rPr>
          <w:rFonts w:hint="default" w:ascii="Times New Roman" w:hAnsi="Times New Roman" w:eastAsia="仿宋_GB2312" w:cs="Times New Roman"/>
          <w:kern w:val="0"/>
          <w:sz w:val="32"/>
          <w:szCs w:val="32"/>
          <w:shd w:val="clear" w:fill="FFFFFF"/>
        </w:rPr>
        <w:t>200</w:t>
      </w:r>
      <w:r>
        <w:rPr>
          <w:rFonts w:hint="default" w:ascii="仿宋_GB2312" w:eastAsia="仿宋_GB2312" w:cs="仿宋_GB2312"/>
          <w:kern w:val="0"/>
          <w:sz w:val="32"/>
          <w:szCs w:val="32"/>
          <w:shd w:val="clear" w:fill="FFFFFF"/>
        </w:rPr>
        <w:t>人次，开设“干警大讲堂”，由本院干警担任主讲人，在司法办案、党建实务、宣传写作等方面为全体干警补课充电、共同成长。定期组织考试和知识竞赛，检验知识掌握情况。让干警在实战锻炼中精进本领，市级各类比赛均派干警参赛并取得佳绩，先后涌现出全市刑事检察业务标兵、公益诉讼检察业务能手、未成年人检察业务实训赛能手、检察机关案件管理业务能手、调研骨干等优秀</w:t>
      </w:r>
      <w:r>
        <w:rPr>
          <w:rFonts w:hint="default" w:ascii="仿宋_GB2312" w:hAnsi="Times New Roman" w:eastAsia="仿宋_GB2312" w:cs="仿宋_GB2312"/>
          <w:kern w:val="0"/>
          <w:sz w:val="32"/>
          <w:szCs w:val="32"/>
        </w:rPr>
        <w:t>个人</w:t>
      </w:r>
      <w:r>
        <w:rPr>
          <w:rFonts w:hint="default" w:ascii="Times New Roman" w:hAnsi="Times New Roman" w:eastAsia="仿宋_GB2312" w:cs="Times New Roman"/>
          <w:kern w:val="0"/>
          <w:sz w:val="32"/>
          <w:szCs w:val="32"/>
        </w:rPr>
        <w:t>9</w:t>
      </w:r>
      <w:r>
        <w:rPr>
          <w:rFonts w:hint="default" w:ascii="仿宋_GB2312" w:hAnsi="Times New Roman" w:eastAsia="仿宋_GB2312" w:cs="仿宋_GB2312"/>
          <w:kern w:val="0"/>
          <w:sz w:val="32"/>
          <w:szCs w:val="32"/>
        </w:rPr>
        <w:t>人。组建理论研究团队，引导干警加强学习思考和实务研究，</w:t>
      </w:r>
      <w:r>
        <w:rPr>
          <w:rFonts w:hint="default" w:ascii="Times New Roman" w:hAnsi="Times New Roman" w:eastAsia="仿宋_GB2312" w:cs="Times New Roman"/>
          <w:kern w:val="0"/>
          <w:sz w:val="32"/>
          <w:szCs w:val="32"/>
        </w:rPr>
        <w:t>9</w:t>
      </w:r>
      <w:r>
        <w:rPr>
          <w:rFonts w:hint="default" w:ascii="仿宋_GB2312" w:hAnsi="Times New Roman" w:eastAsia="仿宋_GB2312" w:cs="仿宋_GB2312"/>
          <w:kern w:val="0"/>
          <w:sz w:val="32"/>
          <w:szCs w:val="32"/>
        </w:rPr>
        <w:t>篇理论文章在市级以上刊物刊登，院集体被评为全市检察理论研究先进集体。</w:t>
      </w:r>
    </w:p>
    <w:p>
      <w:pPr>
        <w:pStyle w:val="6"/>
        <w:keepNext w:val="0"/>
        <w:keepLines w:val="0"/>
        <w:widowControl/>
        <w:numPr>
          <w:ilvl w:val="0"/>
          <w:numId w:val="1"/>
        </w:numPr>
        <w:suppressLineNumbers w:val="0"/>
        <w:ind w:left="0" w:leftChars="0" w:firstLine="640"/>
        <w:rPr>
          <w:rFonts w:hint="eastAsia" w:ascii="黑体" w:hAnsi="宋体" w:eastAsia="黑体" w:cs="黑体"/>
          <w:kern w:val="0"/>
          <w:sz w:val="32"/>
          <w:szCs w:val="32"/>
        </w:rPr>
      </w:pPr>
      <w:r>
        <w:rPr>
          <w:rFonts w:hint="eastAsia" w:ascii="黑体" w:hAnsi="宋体" w:eastAsia="黑体" w:cs="黑体"/>
          <w:kern w:val="0"/>
          <w:sz w:val="32"/>
          <w:szCs w:val="32"/>
        </w:rPr>
        <w:t>紧扣阳光司法，自觉接受监督</w:t>
      </w:r>
    </w:p>
    <w:p>
      <w:pPr>
        <w:keepNext w:val="0"/>
        <w:keepLines w:val="0"/>
        <w:widowControl/>
        <w:suppressLineNumbers w:val="0"/>
        <w:ind w:left="0" w:firstLine="640" w:firstLineChars="200"/>
        <w:rPr>
          <w:rFonts w:hint="default" w:ascii="仿宋_GB2312" w:hAnsi="宋体" w:eastAsia="仿宋_GB2312" w:cs="宋体"/>
          <w:kern w:val="0"/>
          <w:sz w:val="32"/>
          <w:szCs w:val="32"/>
          <w:shd w:val="clear" w:fill="FFFFFF"/>
        </w:rPr>
      </w:pPr>
      <w:r>
        <w:rPr>
          <w:rFonts w:hint="default" w:ascii="仿宋_GB2312" w:hAnsi="宋体" w:eastAsia="仿宋_GB2312" w:cs="仿宋_GB2312"/>
          <w:kern w:val="0"/>
          <w:sz w:val="32"/>
          <w:szCs w:val="32"/>
          <w:shd w:val="clear" w:fill="FFFFFF"/>
        </w:rPr>
        <w:t>自觉接受人大依法监督、政协民主监督。向区人大常委会专题报告优化营商环境和法律监督工作，认真落实审议意见。完善人大代表、政协委员联络和建议、提案办理工作机制，主动邀请区政协委员参加公益诉讼检察助力文明城市创建监督联席会，并参与检察建议的公开宣告送达，全年共邀请代表委</w:t>
      </w:r>
      <w:r>
        <w:rPr>
          <w:rFonts w:hint="default" w:ascii="仿宋_GB2312" w:hAnsi="Times New Roman" w:eastAsia="仿宋_GB2312" w:cs="仿宋_GB2312"/>
          <w:kern w:val="0"/>
          <w:sz w:val="32"/>
          <w:szCs w:val="32"/>
        </w:rPr>
        <w:t>员</w:t>
      </w:r>
      <w:r>
        <w:rPr>
          <w:rFonts w:hint="default" w:ascii="Times New Roman" w:hAnsi="Times New Roman" w:eastAsia="仿宋_GB2312" w:cs="Times New Roman"/>
          <w:kern w:val="0"/>
          <w:sz w:val="32"/>
          <w:szCs w:val="32"/>
        </w:rPr>
        <w:t>26</w:t>
      </w:r>
      <w:r>
        <w:rPr>
          <w:rFonts w:hint="default" w:ascii="仿宋_GB2312" w:hAnsi="Times New Roman" w:eastAsia="仿宋_GB2312" w:cs="仿宋_GB2312"/>
          <w:kern w:val="0"/>
          <w:sz w:val="32"/>
          <w:szCs w:val="32"/>
        </w:rPr>
        <w:t>人</w:t>
      </w:r>
      <w:r>
        <w:rPr>
          <w:rFonts w:hint="default" w:ascii="仿宋_GB2312" w:hAnsi="宋体" w:eastAsia="仿宋_GB2312" w:cs="仿宋_GB2312"/>
          <w:kern w:val="0"/>
          <w:sz w:val="32"/>
          <w:szCs w:val="32"/>
          <w:shd w:val="clear" w:fill="FFFFFF"/>
        </w:rPr>
        <w:t>次参与视察工作、监督办案、出席重要检察活动。</w:t>
      </w:r>
    </w:p>
    <w:p>
      <w:pPr>
        <w:keepNext w:val="0"/>
        <w:keepLines w:val="0"/>
        <w:widowControl/>
        <w:suppressLineNumbers w:val="0"/>
        <w:ind w:left="0" w:firstLine="640" w:firstLineChars="200"/>
        <w:rPr>
          <w:rFonts w:hint="default" w:ascii="Times New Roman" w:hAnsi="Times New Roman" w:eastAsia="仿宋_GB2312" w:cs="Times New Roman"/>
          <w:kern w:val="0"/>
          <w:sz w:val="32"/>
          <w:szCs w:val="32"/>
          <w:shd w:val="clear" w:fill="FFFFFF"/>
        </w:rPr>
      </w:pPr>
      <w:r>
        <w:rPr>
          <w:rFonts w:hint="default" w:ascii="仿宋_GB2312" w:hAnsi="宋体" w:eastAsia="仿宋_GB2312" w:cs="仿宋_GB2312"/>
          <w:kern w:val="0"/>
          <w:sz w:val="32"/>
          <w:szCs w:val="32"/>
          <w:shd w:val="clear" w:fill="FFFFFF"/>
        </w:rPr>
        <w:t>主动接受社会各界监督。常态化开展线上线下检察开放日活动，邀请人民监督员参与公开审查案件、观摩庭审、信访答复等办案</w:t>
      </w:r>
      <w:r>
        <w:rPr>
          <w:rFonts w:hint="default" w:ascii="仿宋_GB2312" w:hAnsi="Times New Roman" w:eastAsia="仿宋_GB2312" w:cs="仿宋_GB2312"/>
          <w:kern w:val="0"/>
          <w:sz w:val="32"/>
          <w:szCs w:val="32"/>
          <w:shd w:val="clear" w:fill="FFFFFF"/>
        </w:rPr>
        <w:t>活动</w:t>
      </w:r>
      <w:r>
        <w:rPr>
          <w:rFonts w:hint="default" w:ascii="Times New Roman" w:hAnsi="Times New Roman" w:eastAsia="仿宋_GB2312" w:cs="Times New Roman"/>
          <w:kern w:val="0"/>
          <w:sz w:val="32"/>
          <w:szCs w:val="32"/>
          <w:shd w:val="clear" w:fill="FFFFFF"/>
        </w:rPr>
        <w:t>13</w:t>
      </w:r>
      <w:r>
        <w:rPr>
          <w:rFonts w:hint="default" w:ascii="仿宋_GB2312" w:hAnsi="Times New Roman" w:eastAsia="仿宋_GB2312" w:cs="仿宋_GB2312"/>
          <w:kern w:val="0"/>
          <w:sz w:val="32"/>
          <w:szCs w:val="32"/>
          <w:shd w:val="clear" w:fill="FFFFFF"/>
        </w:rPr>
        <w:t>人次。</w:t>
      </w:r>
      <w:r>
        <w:rPr>
          <w:rFonts w:hint="default" w:ascii="仿宋_GB2312" w:hAnsi="宋体" w:eastAsia="仿宋_GB2312" w:cs="仿宋_GB2312"/>
          <w:kern w:val="0"/>
          <w:sz w:val="32"/>
          <w:szCs w:val="32"/>
          <w:shd w:val="clear" w:fill="FFFFFF"/>
        </w:rPr>
        <w:t>邀请听证</w:t>
      </w:r>
      <w:r>
        <w:rPr>
          <w:rFonts w:hint="default" w:ascii="仿宋_GB2312" w:hAnsi="Times New Roman" w:eastAsia="仿宋_GB2312" w:cs="仿宋_GB2312"/>
          <w:kern w:val="0"/>
          <w:sz w:val="32"/>
          <w:szCs w:val="32"/>
          <w:shd w:val="clear" w:fill="FFFFFF"/>
        </w:rPr>
        <w:t>员开展公开听证</w:t>
      </w:r>
      <w:r>
        <w:rPr>
          <w:rFonts w:hint="default" w:ascii="Times New Roman" w:hAnsi="Times New Roman" w:eastAsia="仿宋_GB2312" w:cs="Times New Roman"/>
          <w:kern w:val="0"/>
          <w:sz w:val="32"/>
          <w:szCs w:val="32"/>
          <w:shd w:val="clear" w:fill="FFFFFF"/>
        </w:rPr>
        <w:t>5</w:t>
      </w:r>
      <w:r>
        <w:rPr>
          <w:rFonts w:hint="default" w:ascii="仿宋_GB2312" w:hAnsi="Times New Roman" w:eastAsia="仿宋_GB2312" w:cs="仿宋_GB2312"/>
          <w:kern w:val="0"/>
          <w:sz w:val="32"/>
          <w:szCs w:val="32"/>
          <w:shd w:val="clear" w:fill="FFFFFF"/>
        </w:rPr>
        <w:t>次，不公开听证</w:t>
      </w:r>
      <w:r>
        <w:rPr>
          <w:rFonts w:hint="default" w:ascii="Times New Roman" w:hAnsi="Times New Roman" w:eastAsia="仿宋_GB2312" w:cs="Times New Roman"/>
          <w:kern w:val="0"/>
          <w:sz w:val="32"/>
          <w:szCs w:val="32"/>
          <w:shd w:val="clear" w:fill="FFFFFF"/>
        </w:rPr>
        <w:t>1</w:t>
      </w:r>
      <w:r>
        <w:rPr>
          <w:rFonts w:hint="default" w:ascii="仿宋_GB2312" w:hAnsi="Times New Roman" w:eastAsia="仿宋_GB2312" w:cs="仿宋_GB2312"/>
          <w:kern w:val="0"/>
          <w:sz w:val="32"/>
          <w:szCs w:val="32"/>
          <w:shd w:val="clear" w:fill="FFFFFF"/>
        </w:rPr>
        <w:t>次。接待辩护人、诉讼代理人</w:t>
      </w:r>
      <w:r>
        <w:rPr>
          <w:rFonts w:hint="default" w:ascii="Times New Roman" w:hAnsi="Times New Roman" w:eastAsia="仿宋_GB2312" w:cs="Times New Roman"/>
          <w:kern w:val="0"/>
          <w:sz w:val="32"/>
          <w:szCs w:val="32"/>
          <w:shd w:val="clear" w:fill="FFFFFF"/>
        </w:rPr>
        <w:t>65</w:t>
      </w:r>
      <w:r>
        <w:rPr>
          <w:rFonts w:hint="default" w:ascii="仿宋_GB2312" w:hAnsi="Times New Roman" w:eastAsia="仿宋_GB2312" w:cs="仿宋_GB2312"/>
          <w:kern w:val="0"/>
          <w:sz w:val="32"/>
          <w:szCs w:val="32"/>
          <w:shd w:val="clear" w:fill="FFFFFF"/>
        </w:rPr>
        <w:t>次，听取意见</w:t>
      </w:r>
      <w:r>
        <w:rPr>
          <w:rFonts w:hint="default" w:ascii="Times New Roman" w:hAnsi="Times New Roman" w:eastAsia="仿宋_GB2312" w:cs="Times New Roman"/>
          <w:kern w:val="0"/>
          <w:sz w:val="32"/>
          <w:szCs w:val="32"/>
          <w:shd w:val="clear" w:fill="FFFFFF"/>
        </w:rPr>
        <w:t>32</w:t>
      </w:r>
      <w:r>
        <w:rPr>
          <w:rFonts w:hint="default" w:ascii="仿宋_GB2312" w:hAnsi="Times New Roman" w:eastAsia="仿宋_GB2312" w:cs="仿宋_GB2312"/>
          <w:kern w:val="0"/>
          <w:sz w:val="32"/>
          <w:szCs w:val="32"/>
          <w:shd w:val="clear" w:fill="FFFFFF"/>
        </w:rPr>
        <w:t>人次。深化检务公开，累计公开程序性信息</w:t>
      </w:r>
      <w:r>
        <w:rPr>
          <w:rFonts w:hint="default" w:ascii="Times New Roman" w:hAnsi="Times New Roman" w:eastAsia="仿宋_GB2312" w:cs="Times New Roman"/>
          <w:kern w:val="0"/>
          <w:sz w:val="32"/>
          <w:szCs w:val="32"/>
          <w:shd w:val="clear" w:fill="FFFFFF"/>
        </w:rPr>
        <w:t>355</w:t>
      </w:r>
      <w:r>
        <w:rPr>
          <w:rFonts w:hint="default" w:ascii="仿宋_GB2312" w:hAnsi="Times New Roman" w:eastAsia="仿宋_GB2312" w:cs="仿宋_GB2312"/>
          <w:kern w:val="0"/>
          <w:sz w:val="32"/>
          <w:szCs w:val="32"/>
          <w:shd w:val="clear" w:fill="FFFFFF"/>
        </w:rPr>
        <w:t>条，增加检察履职透明度。利用微信、头条、抖音等新媒体平台，发布检察工作动态和普法原创信息</w:t>
      </w:r>
      <w:r>
        <w:rPr>
          <w:rFonts w:hint="default" w:ascii="Times New Roman" w:hAnsi="Times New Roman" w:eastAsia="仿宋_GB2312" w:cs="Times New Roman"/>
          <w:kern w:val="0"/>
          <w:sz w:val="32"/>
          <w:szCs w:val="32"/>
          <w:shd w:val="clear" w:fill="FFFFFF"/>
        </w:rPr>
        <w:t>471</w:t>
      </w:r>
      <w:r>
        <w:rPr>
          <w:rFonts w:hint="default" w:ascii="仿宋_GB2312" w:hAnsi="Times New Roman" w:eastAsia="仿宋_GB2312" w:cs="仿宋_GB2312"/>
          <w:kern w:val="0"/>
          <w:sz w:val="32"/>
          <w:szCs w:val="32"/>
          <w:shd w:val="clear" w:fill="FFFFFF"/>
        </w:rPr>
        <w:t>条，更好接受群众监督和传播法治正能量。</w:t>
      </w:r>
    </w:p>
    <w:p>
      <w:pPr>
        <w:keepNext w:val="0"/>
        <w:keepLines w:val="0"/>
        <w:widowControl/>
        <w:suppressLineNumbers w:val="0"/>
        <w:ind w:lef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w:t>
      </w:r>
      <w:r>
        <w:rPr>
          <w:rFonts w:hint="default" w:ascii="仿宋_GB2312" w:hAnsi="Times New Roman" w:eastAsia="仿宋_GB2312" w:cs="仿宋_GB2312"/>
          <w:kern w:val="0"/>
          <w:sz w:val="32"/>
          <w:szCs w:val="32"/>
        </w:rPr>
        <w:t>年，元宝山区院被评为全国检察宣传先进单位和全区先进基层检察院，</w:t>
      </w:r>
      <w:r>
        <w:rPr>
          <w:rFonts w:hint="default" w:ascii="仿宋_GB2312" w:hAnsi="宋体" w:eastAsia="仿宋_GB2312" w:cs="仿宋_GB2312"/>
          <w:kern w:val="0"/>
          <w:sz w:val="32"/>
          <w:szCs w:val="32"/>
        </w:rPr>
        <w:t>荣获集体三等功、检察机关信息工作表现突出集体和未成年人检察业务实训竞赛优秀组织奖等</w:t>
      </w:r>
      <w:r>
        <w:rPr>
          <w:rFonts w:hint="default" w:ascii="Times New Roman" w:hAnsi="Times New Roman" w:eastAsia="仿宋_GB2312" w:cs="Times New Roman"/>
          <w:kern w:val="0"/>
          <w:sz w:val="32"/>
          <w:szCs w:val="32"/>
        </w:rPr>
        <w:t>9</w:t>
      </w:r>
      <w:r>
        <w:rPr>
          <w:rFonts w:hint="default" w:ascii="仿宋_GB2312" w:hAnsi="宋体" w:eastAsia="仿宋_GB2312" w:cs="仿宋_GB2312"/>
          <w:kern w:val="0"/>
          <w:sz w:val="32"/>
          <w:szCs w:val="32"/>
        </w:rPr>
        <w:t>项目市级荣誉</w:t>
      </w:r>
      <w:r>
        <w:rPr>
          <w:rFonts w:hint="default"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2</w:t>
      </w:r>
      <w:r>
        <w:rPr>
          <w:rFonts w:hint="default" w:ascii="仿宋_GB2312" w:hAnsi="Times New Roman" w:eastAsia="仿宋_GB2312" w:cs="仿宋_GB2312"/>
          <w:kern w:val="0"/>
          <w:sz w:val="32"/>
          <w:szCs w:val="32"/>
        </w:rPr>
        <w:t>人次获国家级表彰，</w:t>
      </w:r>
      <w:r>
        <w:rPr>
          <w:rFonts w:hint="default" w:ascii="Times New Roman" w:hAnsi="Times New Roman" w:eastAsia="仿宋_GB2312" w:cs="Times New Roman"/>
          <w:kern w:val="0"/>
          <w:sz w:val="32"/>
          <w:szCs w:val="32"/>
        </w:rPr>
        <w:t>1</w:t>
      </w:r>
      <w:r>
        <w:rPr>
          <w:rFonts w:hint="default" w:ascii="仿宋_GB2312" w:hAnsi="Times New Roman" w:eastAsia="仿宋_GB2312" w:cs="仿宋_GB2312"/>
          <w:kern w:val="0"/>
          <w:sz w:val="32"/>
          <w:szCs w:val="32"/>
        </w:rPr>
        <w:t>人次获自治区级表彰，</w:t>
      </w:r>
      <w:r>
        <w:rPr>
          <w:rFonts w:hint="default" w:ascii="Times New Roman" w:hAnsi="Times New Roman" w:eastAsia="仿宋_GB2312" w:cs="Times New Roman"/>
          <w:kern w:val="0"/>
          <w:sz w:val="32"/>
          <w:szCs w:val="32"/>
        </w:rPr>
        <w:t>14</w:t>
      </w:r>
      <w:r>
        <w:rPr>
          <w:rFonts w:hint="default" w:ascii="仿宋_GB2312" w:hAnsi="Times New Roman" w:eastAsia="仿宋_GB2312" w:cs="仿宋_GB2312"/>
          <w:kern w:val="0"/>
          <w:sz w:val="32"/>
          <w:szCs w:val="32"/>
        </w:rPr>
        <w:t>人次获市级表彰。</w:t>
      </w:r>
    </w:p>
    <w:p>
      <w:pPr>
        <w:pStyle w:val="9"/>
        <w:keepNext w:val="0"/>
        <w:keepLines w:val="0"/>
        <w:widowControl/>
        <w:suppressLineNumbers w:val="0"/>
        <w:spacing w:line="600" w:lineRule="exact"/>
        <w:ind w:left="0" w:firstLine="640" w:firstLineChars="200"/>
        <w:jc w:val="left"/>
        <w:rPr>
          <w:rFonts w:hint="eastAsia" w:ascii="宋体" w:hAnsi="宋体" w:eastAsia="仿宋_GB2312" w:cs="宋体"/>
          <w:kern w:val="0"/>
          <w:sz w:val="32"/>
          <w:szCs w:val="32"/>
        </w:rPr>
      </w:pPr>
      <w:r>
        <w:rPr>
          <w:rFonts w:hint="default" w:ascii="仿宋_GB2312" w:hAnsi="宋体" w:eastAsia="仿宋_GB2312" w:cs="仿宋_GB2312"/>
          <w:kern w:val="0"/>
          <w:sz w:val="32"/>
          <w:szCs w:val="32"/>
        </w:rPr>
        <w:t>在看到成绩的同时，我们清醒认识到，检察工作</w:t>
      </w:r>
      <w:r>
        <w:rPr>
          <w:rFonts w:hint="default" w:ascii="仿宋_GB2312" w:hAnsi="宋体" w:eastAsia="仿宋_GB2312" w:cs="仿宋_GB2312"/>
          <w:color w:val="000000"/>
          <w:kern w:val="0"/>
          <w:sz w:val="32"/>
          <w:szCs w:val="32"/>
        </w:rPr>
        <w:t>还存在一些问题和不足：</w:t>
      </w:r>
      <w:r>
        <w:rPr>
          <w:rFonts w:hint="default" w:ascii="仿宋_GB2312" w:hAnsi="宋体" w:eastAsia="仿宋_GB2312" w:cs="仿宋_GB2312"/>
          <w:b/>
          <w:bCs/>
          <w:kern w:val="0"/>
          <w:sz w:val="32"/>
          <w:szCs w:val="32"/>
        </w:rPr>
        <w:t>一是</w:t>
      </w:r>
      <w:r>
        <w:rPr>
          <w:rFonts w:hint="default" w:ascii="仿宋_GB2312" w:hAnsi="宋体" w:eastAsia="仿宋_GB2312" w:cs="仿宋_GB2312"/>
          <w:kern w:val="0"/>
          <w:sz w:val="32"/>
          <w:szCs w:val="32"/>
        </w:rPr>
        <w:t>学思践悟习近平法治思想还需走深走实，党的二十大精神还需进一步研学领悟，检察理念需持续更新；</w:t>
      </w:r>
      <w:r>
        <w:rPr>
          <w:rFonts w:hint="default" w:ascii="仿宋_GB2312" w:hAnsi="Times New Roman" w:eastAsia="仿宋_GB2312" w:cs="仿宋_GB2312"/>
          <w:b/>
          <w:bCs/>
          <w:kern w:val="2"/>
          <w:sz w:val="32"/>
          <w:szCs w:val="32"/>
        </w:rPr>
        <w:t>二是</w:t>
      </w:r>
      <w:r>
        <w:rPr>
          <w:rFonts w:hint="default" w:ascii="仿宋_GB2312" w:hAnsi="Times New Roman" w:eastAsia="仿宋_GB2312" w:cs="仿宋_GB2312"/>
          <w:kern w:val="2"/>
          <w:sz w:val="32"/>
          <w:szCs w:val="32"/>
        </w:rPr>
        <w:t>检察业务新格局确立之后，“四大检察”“十大业务”发展不够均衡，检察业务工作还需进一步提质增效；</w:t>
      </w:r>
      <w:r>
        <w:rPr>
          <w:rFonts w:hint="default" w:ascii="仿宋_GB2312" w:hAnsi="宋体" w:eastAsia="仿宋_GB2312" w:cs="仿宋_GB2312"/>
          <w:b/>
          <w:bCs/>
          <w:kern w:val="0"/>
          <w:sz w:val="32"/>
          <w:szCs w:val="32"/>
        </w:rPr>
        <w:t>三是</w:t>
      </w:r>
      <w:r>
        <w:rPr>
          <w:rFonts w:hint="default" w:ascii="仿宋_GB2312" w:hAnsi="宋体" w:eastAsia="仿宋_GB2312" w:cs="仿宋_GB2312"/>
          <w:color w:val="000000"/>
          <w:kern w:val="0"/>
          <w:sz w:val="32"/>
          <w:szCs w:val="32"/>
        </w:rPr>
        <w:t>队伍专业化职业化水平还不能满足新时代党和人民对检察工作的新期待。</w:t>
      </w:r>
    </w:p>
    <w:p>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default" w:ascii="方正小标宋简体" w:hAnsi="方正小标宋简体" w:eastAsia="方正小标宋简体" w:cs="方正小标宋简体"/>
          <w:b/>
          <w:bCs/>
          <w:kern w:val="0"/>
          <w:sz w:val="36"/>
          <w:szCs w:val="36"/>
        </w:rPr>
        <w:t>第二部分  2022年度部门决算情况说明</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一、收入支出决算总体情况说明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元宝山区人民检察院部门2022年度收入、支出决算总计</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万元。与年初预算相比，收、支总计各减少</w:t>
      </w:r>
      <w:r>
        <w:rPr>
          <w:rFonts w:hint="default" w:ascii="Times New Roman" w:hAnsi="Times New Roman" w:eastAsia="宋体" w:cs="Times New Roman"/>
          <w:kern w:val="0"/>
          <w:sz w:val="32"/>
          <w:szCs w:val="32"/>
          <w:u w:val="single"/>
        </w:rPr>
        <w:t>48.04</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u w:val="single"/>
        </w:rPr>
        <w:t>3.65</w:t>
      </w:r>
      <w:r>
        <w:rPr>
          <w:rFonts w:hint="eastAsia" w:ascii="宋体" w:hAnsi="宋体" w:eastAsia="宋体" w:cs="宋体"/>
          <w:kern w:val="0"/>
          <w:sz w:val="32"/>
          <w:szCs w:val="32"/>
        </w:rPr>
        <w:t>%，变动原因：疫情影响；与上年决算相比，收、支总计各增加</w:t>
      </w:r>
      <w:r>
        <w:rPr>
          <w:rFonts w:hint="default" w:ascii="Times New Roman" w:hAnsi="Times New Roman" w:eastAsia="宋体" w:cs="Times New Roman"/>
          <w:kern w:val="0"/>
          <w:sz w:val="32"/>
          <w:szCs w:val="32"/>
          <w:u w:val="single"/>
        </w:rPr>
        <w:t>116.23</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10.09</w:t>
      </w:r>
      <w:r>
        <w:rPr>
          <w:rFonts w:hint="eastAsia" w:ascii="宋体" w:hAnsi="宋体" w:eastAsia="宋体" w:cs="宋体"/>
          <w:kern w:val="0"/>
          <w:sz w:val="32"/>
          <w:szCs w:val="32"/>
        </w:rPr>
        <w:t>%。其中：人员经费中未休假补贴恢复发放。</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（一）收入决算总计</w:t>
      </w:r>
      <w:r>
        <w:rPr>
          <w:rFonts w:hint="default" w:ascii="Times New Roman" w:hAnsi="Times New Roman" w:eastAsia="宋体" w:cs="Times New Roman"/>
          <w:kern w:val="0"/>
          <w:sz w:val="32"/>
          <w:szCs w:val="32"/>
          <w:u w:val="single"/>
        </w:rPr>
        <w:t>1,267.95</w:t>
      </w:r>
      <w:r>
        <w:rPr>
          <w:rFonts w:hint="eastAsia" w:ascii="楷体" w:hAnsi="楷体" w:eastAsia="楷体" w:cs="楷体"/>
          <w:b/>
          <w:bCs/>
          <w:kern w:val="0"/>
          <w:sz w:val="32"/>
          <w:szCs w:val="32"/>
        </w:rPr>
        <w:t>万元。包括：</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本年收入决算合计</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116.23</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10.09</w:t>
      </w:r>
      <w:r>
        <w:rPr>
          <w:rFonts w:hint="eastAsia" w:ascii="宋体" w:hAnsi="宋体" w:eastAsia="宋体" w:cs="宋体"/>
          <w:kern w:val="0"/>
          <w:sz w:val="32"/>
          <w:szCs w:val="32"/>
        </w:rPr>
        <w:t>%，变动原因：人员经费中未休假补贴恢复发放。</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使用非财政拨款结余</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年初结转和结余</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（二）支出决算总计</w:t>
      </w:r>
      <w:r>
        <w:rPr>
          <w:rFonts w:hint="default" w:ascii="Times New Roman" w:hAnsi="Times New Roman" w:eastAsia="宋体" w:cs="Times New Roman"/>
          <w:kern w:val="0"/>
          <w:sz w:val="32"/>
          <w:szCs w:val="32"/>
          <w:u w:val="single"/>
        </w:rPr>
        <w:t>1,267.95</w:t>
      </w:r>
      <w:r>
        <w:rPr>
          <w:rFonts w:hint="eastAsia" w:ascii="楷体" w:hAnsi="楷体" w:eastAsia="楷体" w:cs="楷体"/>
          <w:b/>
          <w:bCs/>
          <w:kern w:val="0"/>
          <w:sz w:val="32"/>
          <w:szCs w:val="32"/>
        </w:rPr>
        <w:t>万元。包括：</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本年支出决算合计</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116.23</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10.09</w:t>
      </w:r>
      <w:r>
        <w:rPr>
          <w:rFonts w:hint="eastAsia" w:ascii="宋体" w:hAnsi="宋体" w:eastAsia="宋体" w:cs="宋体"/>
          <w:kern w:val="0"/>
          <w:sz w:val="32"/>
          <w:szCs w:val="32"/>
        </w:rPr>
        <w:t>%，变动原因人员经费中未休假补贴恢复发放。。</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结余分配</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年末结转和结余</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二、收入决算情况说明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元宝山区人民检察院部门2022年度本年收入决算合计</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本年一般公共预算财政拨款收入</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100.00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本年政府性基金预算财政拨款收入</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本年国有资本经营预算财政拨款收入</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本年上级补助收入</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本年事业收入</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本年经营收入</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本年附属单位上缴收入</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本年其他收入</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 xml:space="preserve"> </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三、支出决算情况说明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元宝山区人民检察院部门2022年度本年支出决算合计</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本年基本支出</w:t>
      </w:r>
      <w:r>
        <w:rPr>
          <w:rFonts w:hint="default" w:ascii="Times New Roman" w:hAnsi="Times New Roman" w:eastAsia="宋体" w:cs="Times New Roman"/>
          <w:kern w:val="0"/>
          <w:sz w:val="32"/>
          <w:szCs w:val="32"/>
          <w:u w:val="single"/>
        </w:rPr>
        <w:t>937.39</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73.93</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本年项目支出</w:t>
      </w:r>
      <w:r>
        <w:rPr>
          <w:rFonts w:hint="default" w:ascii="Times New Roman" w:hAnsi="Times New Roman" w:eastAsia="宋体" w:cs="Times New Roman"/>
          <w:kern w:val="0"/>
          <w:sz w:val="32"/>
          <w:szCs w:val="32"/>
          <w:u w:val="single"/>
        </w:rPr>
        <w:t>330.56</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26.07</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本年上缴上级支出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本年对附属单位补助支出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 xml:space="preserve"> </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四、财政拨款收入支出决算总体情况说明</w:t>
      </w:r>
    </w:p>
    <w:p>
      <w:pPr>
        <w:keepNext w:val="0"/>
        <w:keepLines w:val="0"/>
        <w:widowControl/>
        <w:suppressLineNumbers w:val="0"/>
        <w:spacing w:before="0" w:beforeAutospacing="1" w:after="0" w:afterAutospacing="1" w:line="560" w:lineRule="atLeast"/>
        <w:ind w:right="0" w:firstLine="640" w:firstLineChars="20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w:t>
      </w:r>
      <w:r>
        <w:rPr>
          <w:rFonts w:hint="default" w:ascii="Times New Roman" w:hAnsi="Times New Roman" w:eastAsia="宋体" w:cs="Times New Roman"/>
          <w:kern w:val="0"/>
          <w:sz w:val="32"/>
          <w:szCs w:val="32"/>
        </w:rPr>
        <w:t xml:space="preserve"> </w:t>
      </w:r>
      <w:r>
        <w:rPr>
          <w:rFonts w:hint="eastAsia" w:ascii="宋体" w:hAnsi="宋体" w:eastAsia="宋体" w:cs="宋体"/>
          <w:kern w:val="0"/>
          <w:sz w:val="32"/>
          <w:szCs w:val="32"/>
        </w:rPr>
        <w:t>2022年度财政拨款收入、支出决算总计</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万元，与年初预算相比，收、支总计各减少</w:t>
      </w:r>
      <w:r>
        <w:rPr>
          <w:rFonts w:hint="default" w:ascii="Times New Roman" w:hAnsi="Times New Roman" w:eastAsia="宋体" w:cs="Times New Roman"/>
          <w:kern w:val="0"/>
          <w:sz w:val="32"/>
          <w:szCs w:val="32"/>
          <w:u w:val="single"/>
        </w:rPr>
        <w:t>48.04</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u w:val="single"/>
        </w:rPr>
        <w:t>3.65</w:t>
      </w:r>
      <w:r>
        <w:rPr>
          <w:rFonts w:hint="eastAsia" w:ascii="宋体" w:hAnsi="宋体" w:eastAsia="宋体" w:cs="宋体"/>
          <w:kern w:val="0"/>
          <w:sz w:val="32"/>
          <w:szCs w:val="32"/>
        </w:rPr>
        <w:t>%，变动原因：</w:t>
      </w:r>
      <w:r>
        <w:rPr>
          <w:rFonts w:hint="eastAsia" w:cs="宋体"/>
          <w:kern w:val="0"/>
          <w:sz w:val="32"/>
          <w:szCs w:val="32"/>
          <w:lang w:eastAsia="zh-CN"/>
        </w:rPr>
        <w:t>疫情影响</w:t>
      </w:r>
      <w:r>
        <w:rPr>
          <w:rFonts w:hint="eastAsia" w:ascii="宋体" w:hAnsi="宋体" w:eastAsia="宋体" w:cs="宋体"/>
          <w:kern w:val="0"/>
          <w:sz w:val="32"/>
          <w:szCs w:val="32"/>
        </w:rPr>
        <w:t>；与上年决算相比，收、支总计各增加</w:t>
      </w:r>
      <w:r>
        <w:rPr>
          <w:rFonts w:hint="default" w:ascii="Times New Roman" w:hAnsi="Times New Roman" w:eastAsia="宋体" w:cs="Times New Roman"/>
          <w:kern w:val="0"/>
          <w:sz w:val="32"/>
          <w:szCs w:val="32"/>
          <w:u w:val="single"/>
        </w:rPr>
        <w:t>116.23</w:t>
      </w:r>
      <w:r>
        <w:rPr>
          <w:rFonts w:hint="eastAsia" w:ascii="宋体" w:hAnsi="宋体" w:eastAsia="宋体" w:cs="宋体"/>
          <w:kern w:val="0"/>
          <w:sz w:val="32"/>
          <w:szCs w:val="32"/>
        </w:rPr>
        <w:t>万元，增长</w:t>
      </w:r>
      <w:r>
        <w:rPr>
          <w:rFonts w:hint="default" w:ascii="Times New Roman" w:hAnsi="Times New Roman" w:eastAsia="宋体" w:cs="Times New Roman"/>
          <w:kern w:val="0"/>
          <w:sz w:val="30"/>
          <w:szCs w:val="30"/>
          <w:u w:val="single"/>
        </w:rPr>
        <w:t>10.09</w:t>
      </w:r>
      <w:r>
        <w:rPr>
          <w:rFonts w:hint="eastAsia" w:ascii="宋体" w:hAnsi="宋体" w:eastAsia="宋体" w:cs="宋体"/>
          <w:kern w:val="0"/>
          <w:sz w:val="32"/>
          <w:szCs w:val="32"/>
        </w:rPr>
        <w:t>%，变动原因：人员经费中未休假补贴恢复发放。</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五、一般公共预算支出决算情况说明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元宝山区人民检察院部门2022年度一般公共预算财政拨款支出决算</w:t>
      </w:r>
      <w:r>
        <w:rPr>
          <w:rFonts w:hint="default" w:ascii="Times New Roman" w:hAnsi="Times New Roman" w:eastAsia="宋体" w:cs="Times New Roman"/>
          <w:kern w:val="0"/>
          <w:sz w:val="32"/>
          <w:szCs w:val="32"/>
          <w:u w:val="single"/>
        </w:rPr>
        <w:t>1,267.95</w:t>
      </w:r>
      <w:r>
        <w:rPr>
          <w:rFonts w:hint="eastAsia" w:ascii="宋体" w:hAnsi="宋体" w:eastAsia="宋体" w:cs="宋体"/>
          <w:kern w:val="0"/>
          <w:sz w:val="32"/>
          <w:szCs w:val="32"/>
        </w:rPr>
        <w:t>万元。与年初预算</w:t>
      </w:r>
      <w:r>
        <w:rPr>
          <w:rFonts w:hint="default" w:ascii="Times New Roman" w:hAnsi="Times New Roman" w:eastAsia="宋体" w:cs="Times New Roman"/>
          <w:kern w:val="0"/>
          <w:sz w:val="32"/>
          <w:szCs w:val="32"/>
          <w:u w:val="single"/>
        </w:rPr>
        <w:t>1,315.99</w:t>
      </w:r>
      <w:r>
        <w:rPr>
          <w:rFonts w:hint="eastAsia" w:ascii="宋体" w:hAnsi="宋体" w:eastAsia="宋体" w:cs="宋体"/>
          <w:kern w:val="0"/>
          <w:sz w:val="32"/>
          <w:szCs w:val="32"/>
        </w:rPr>
        <w:t>万元相比，完成年初预算的</w:t>
      </w:r>
      <w:r>
        <w:rPr>
          <w:rFonts w:hint="default" w:ascii="Times New Roman" w:hAnsi="Times New Roman" w:eastAsia="宋体" w:cs="Times New Roman"/>
          <w:kern w:val="0"/>
          <w:sz w:val="32"/>
          <w:szCs w:val="32"/>
          <w:u w:val="single"/>
        </w:rPr>
        <w:t>96.35</w:t>
      </w:r>
      <w:r>
        <w:rPr>
          <w:rFonts w:hint="eastAsia" w:ascii="宋体" w:hAnsi="宋体" w:eastAsia="宋体" w:cs="宋体"/>
          <w:kern w:val="0"/>
          <w:sz w:val="32"/>
          <w:szCs w:val="32"/>
        </w:rPr>
        <w:t>%。其中：</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（一）一般公共服务（类）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一般公共服务类决算数为</w:t>
      </w:r>
      <w:r>
        <w:rPr>
          <w:rFonts w:hint="default" w:ascii="Times New Roman" w:hAnsi="Times New Roman" w:eastAsia="宋体" w:cs="Times New Roman"/>
          <w:kern w:val="0"/>
          <w:sz w:val="30"/>
          <w:szCs w:val="30"/>
          <w:u w:val="single"/>
        </w:rPr>
        <w:t>0.00</w:t>
      </w:r>
      <w:r>
        <w:rPr>
          <w:rFonts w:hint="eastAsia" w:ascii="宋体" w:hAnsi="宋体" w:eastAsia="宋体" w:cs="宋体"/>
          <w:kern w:val="0"/>
          <w:sz w:val="32"/>
          <w:szCs w:val="32"/>
        </w:rPr>
        <w:t>万元，与年初预算相比增加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w:t>
      </w:r>
    </w:p>
    <w:p>
      <w:pPr>
        <w:keepNext w:val="0"/>
        <w:keepLines w:val="0"/>
        <w:widowControl/>
        <w:numPr>
          <w:ilvl w:val="0"/>
          <w:numId w:val="2"/>
        </w:numPr>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人大事务（款）行政运行（项）。年初预算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（二）公共安全（类）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公共安全类决算数为</w:t>
      </w:r>
      <w:r>
        <w:rPr>
          <w:rFonts w:hint="default" w:ascii="Times New Roman" w:hAnsi="Times New Roman" w:eastAsia="宋体" w:cs="Times New Roman"/>
          <w:kern w:val="0"/>
          <w:sz w:val="32"/>
          <w:szCs w:val="32"/>
          <w:u w:val="single"/>
        </w:rPr>
        <w:t>1,125.86</w:t>
      </w:r>
      <w:r>
        <w:rPr>
          <w:rFonts w:hint="eastAsia" w:ascii="宋体" w:hAnsi="宋体" w:eastAsia="宋体" w:cs="宋体"/>
          <w:kern w:val="0"/>
          <w:sz w:val="32"/>
          <w:szCs w:val="32"/>
        </w:rPr>
        <w:t>万元，与年初预算相比减少</w:t>
      </w:r>
      <w:r>
        <w:rPr>
          <w:rFonts w:hint="default" w:ascii="Times New Roman" w:hAnsi="Times New Roman" w:eastAsia="宋体" w:cs="Times New Roman"/>
          <w:kern w:val="0"/>
          <w:sz w:val="32"/>
          <w:szCs w:val="32"/>
          <w:u w:val="single"/>
        </w:rPr>
        <w:t>41.91</w:t>
      </w:r>
      <w:r>
        <w:rPr>
          <w:rFonts w:hint="eastAsia" w:ascii="宋体" w:hAnsi="宋体" w:eastAsia="宋体" w:cs="宋体"/>
          <w:kern w:val="0"/>
          <w:sz w:val="32"/>
          <w:szCs w:val="32"/>
        </w:rPr>
        <w:t>万元。其中：</w:t>
      </w:r>
    </w:p>
    <w:p>
      <w:pPr>
        <w:keepNext w:val="0"/>
        <w:keepLines w:val="0"/>
        <w:widowControl/>
        <w:numPr>
          <w:ilvl w:val="0"/>
          <w:numId w:val="3"/>
        </w:numPr>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公安（款）行政运行（项）。年初预算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万元，完成年初预算的</w:t>
      </w:r>
      <w:r>
        <w:rPr>
          <w:rFonts w:hint="eastAsia" w:cs="宋体"/>
          <w:kern w:val="0"/>
          <w:sz w:val="32"/>
          <w:szCs w:val="32"/>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p>
    <w:p>
      <w:pPr>
        <w:keepNext w:val="0"/>
        <w:keepLines w:val="0"/>
        <w:widowControl/>
        <w:numPr>
          <w:ilvl w:val="0"/>
          <w:numId w:val="0"/>
        </w:numPr>
        <w:suppressLineNumbers w:val="0"/>
        <w:spacing w:before="0" w:beforeAutospacing="1" w:after="0" w:afterAutospacing="1" w:line="560" w:lineRule="atLeast"/>
        <w:ind w:left="640" w:leftChars="0" w:right="0" w:rightChars="0"/>
        <w:jc w:val="both"/>
        <w:rPr>
          <w:rFonts w:hint="eastAsia" w:ascii="宋体" w:hAnsi="宋体" w:eastAsia="宋体" w:cs="宋体"/>
          <w:kern w:val="0"/>
          <w:sz w:val="24"/>
          <w:szCs w:val="24"/>
        </w:rPr>
      </w:pPr>
      <w:r>
        <w:rPr>
          <w:rFonts w:hint="eastAsia" w:ascii="楷体" w:hAnsi="楷体" w:eastAsia="楷体" w:cs="楷体"/>
          <w:b/>
          <w:bCs/>
          <w:kern w:val="0"/>
          <w:sz w:val="32"/>
          <w:szCs w:val="32"/>
        </w:rPr>
        <w:t>（三）社会保障和就业支出（类）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社会保障和就业支出类决算数为</w:t>
      </w:r>
      <w:r>
        <w:rPr>
          <w:rFonts w:hint="default" w:ascii="Times New Roman" w:hAnsi="Times New Roman" w:eastAsia="宋体" w:cs="Times New Roman"/>
          <w:kern w:val="0"/>
          <w:sz w:val="32"/>
          <w:szCs w:val="32"/>
          <w:u w:val="single"/>
        </w:rPr>
        <w:t>62.43</w:t>
      </w:r>
      <w:r>
        <w:rPr>
          <w:rFonts w:hint="eastAsia" w:ascii="宋体" w:hAnsi="宋体" w:eastAsia="宋体" w:cs="宋体"/>
          <w:kern w:val="0"/>
          <w:sz w:val="32"/>
          <w:szCs w:val="32"/>
        </w:rPr>
        <w:t>万元，与年初预算相比增加</w:t>
      </w:r>
      <w:r>
        <w:rPr>
          <w:rFonts w:hint="default" w:ascii="Times New Roman" w:hAnsi="Times New Roman" w:eastAsia="宋体" w:cs="Times New Roman"/>
          <w:kern w:val="0"/>
          <w:sz w:val="32"/>
          <w:szCs w:val="32"/>
          <w:u w:val="single"/>
        </w:rPr>
        <w:t>5.70</w:t>
      </w:r>
      <w:r>
        <w:rPr>
          <w:rFonts w:hint="eastAsia" w:ascii="宋体" w:hAnsi="宋体" w:eastAsia="宋体" w:cs="宋体"/>
          <w:kern w:val="0"/>
          <w:sz w:val="32"/>
          <w:szCs w:val="32"/>
        </w:rPr>
        <w:t>万元。</w:t>
      </w:r>
    </w:p>
    <w:p>
      <w:pPr>
        <w:keepNext w:val="0"/>
        <w:keepLines w:val="0"/>
        <w:widowControl/>
        <w:numPr>
          <w:ilvl w:val="0"/>
          <w:numId w:val="4"/>
        </w:numPr>
        <w:suppressLineNumbers w:val="0"/>
        <w:spacing w:before="0" w:beforeAutospacing="1" w:after="0" w:afterAutospacing="1" w:line="560" w:lineRule="atLeast"/>
        <w:ind w:left="0" w:righ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行政事业单位养老支出（款）行政单位离退休（项）。年初预算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0.00</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p>
    <w:p>
      <w:pPr>
        <w:keepNext w:val="0"/>
        <w:keepLines w:val="0"/>
        <w:widowControl/>
        <w:numPr>
          <w:ilvl w:val="0"/>
          <w:numId w:val="4"/>
        </w:numPr>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行政事业单位养老支出（款）事业单位离退休（项）。年初预算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0.00</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．行政事业单位养老支出（款）机关事业单位基本养老保险缴费支出（项）。年初预算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60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59.79</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98</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基本无差距</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4</w:t>
      </w:r>
      <w:r>
        <w:rPr>
          <w:rFonts w:hint="eastAsia" w:ascii="宋体" w:hAnsi="宋体" w:eastAsia="宋体" w:cs="宋体"/>
          <w:kern w:val="0"/>
          <w:sz w:val="32"/>
          <w:szCs w:val="32"/>
        </w:rPr>
        <w:t>．行政事业单位养老支出（款）机关事业单位职业年金缴费支出（项）。年初预算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2.64</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2.64</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100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（四）卫生健康支出（类）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卫生健康支出类决算数为</w:t>
      </w:r>
      <w:r>
        <w:rPr>
          <w:rFonts w:hint="default" w:ascii="Times New Roman" w:hAnsi="Times New Roman" w:eastAsia="宋体" w:cs="Times New Roman"/>
          <w:kern w:val="0"/>
          <w:sz w:val="32"/>
          <w:szCs w:val="32"/>
          <w:u w:val="single"/>
        </w:rPr>
        <w:t>28.81</w:t>
      </w:r>
      <w:r>
        <w:rPr>
          <w:rFonts w:hint="eastAsia" w:ascii="宋体" w:hAnsi="宋体" w:eastAsia="宋体" w:cs="宋体"/>
          <w:kern w:val="0"/>
          <w:sz w:val="32"/>
          <w:szCs w:val="32"/>
        </w:rPr>
        <w:t>万元，与年初预算相比增加（减少）</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万元。其中：</w:t>
      </w:r>
    </w:p>
    <w:p>
      <w:pPr>
        <w:keepNext w:val="0"/>
        <w:keepLines w:val="0"/>
        <w:widowControl/>
        <w:suppressLineNumbers w:val="0"/>
        <w:spacing w:before="0" w:beforeAutospacing="1" w:after="0" w:afterAutospacing="1" w:line="560" w:lineRule="atLeast"/>
        <w:ind w:left="0" w:right="0" w:firstLine="640"/>
        <w:jc w:val="left"/>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．行政事业单位医疗（款）行政单位医疗（项）。年初预算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28.81</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28.81</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100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r>
        <w:rPr>
          <w:rFonts w:hint="eastAsia" w:cs="宋体"/>
          <w:kern w:val="0"/>
          <w:sz w:val="32"/>
          <w:szCs w:val="32"/>
          <w:lang w:val="en-US" w:eastAsia="zh-CN"/>
        </w:rPr>
        <w:t xml:space="preserve">                                              </w:t>
      </w: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．行政事业单位医疗（款）事业单位医疗（项）。年初预算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0.00</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．行政事业单位医疗（款）公务员医疗补助（项）。年初预算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0.00</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 xml:space="preserve"> </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（五）住房保障支出（类）</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住房保障支出类决算数为</w:t>
      </w:r>
      <w:r>
        <w:rPr>
          <w:rFonts w:hint="default" w:ascii="Times New Roman" w:hAnsi="Times New Roman" w:eastAsia="宋体" w:cs="Times New Roman"/>
          <w:kern w:val="0"/>
          <w:sz w:val="32"/>
          <w:szCs w:val="32"/>
          <w:u w:val="single"/>
        </w:rPr>
        <w:t>50.85</w:t>
      </w:r>
      <w:r>
        <w:rPr>
          <w:rFonts w:hint="eastAsia" w:ascii="宋体" w:hAnsi="宋体" w:eastAsia="宋体" w:cs="宋体"/>
          <w:kern w:val="0"/>
          <w:sz w:val="32"/>
          <w:szCs w:val="32"/>
        </w:rPr>
        <w:t>万元，与年初预算相比减少</w:t>
      </w:r>
      <w:r>
        <w:rPr>
          <w:rFonts w:hint="default" w:ascii="Times New Roman" w:hAnsi="Times New Roman" w:eastAsia="宋体" w:cs="Times New Roman"/>
          <w:kern w:val="0"/>
          <w:sz w:val="32"/>
          <w:szCs w:val="32"/>
          <w:u w:val="single"/>
        </w:rPr>
        <w:t>11.83</w:t>
      </w:r>
      <w:r>
        <w:rPr>
          <w:rFonts w:hint="eastAsia" w:ascii="宋体" w:hAnsi="宋体" w:eastAsia="宋体" w:cs="宋体"/>
          <w:kern w:val="0"/>
          <w:sz w:val="32"/>
          <w:szCs w:val="32"/>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．住房改革支出（款）住房公积金（项）。年初预算</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64.8</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u w:val="single"/>
        </w:rPr>
        <w:t>50.85</w:t>
      </w:r>
      <w:r>
        <w:rPr>
          <w:rFonts w:hint="eastAsia" w:ascii="宋体" w:hAnsi="宋体" w:eastAsia="宋体" w:cs="宋体"/>
          <w:kern w:val="0"/>
          <w:sz w:val="32"/>
          <w:szCs w:val="32"/>
        </w:rPr>
        <w:t>万元，完成年初预算的</w:t>
      </w:r>
      <w:r>
        <w:rPr>
          <w:rFonts w:hint="eastAsia" w:ascii="Times New Roman" w:hAnsi="Times New Roman" w:cs="Times New Roman"/>
          <w:kern w:val="0"/>
          <w:sz w:val="32"/>
          <w:szCs w:val="32"/>
          <w:u w:val="single"/>
          <w:lang w:val="en-US" w:eastAsia="zh-CN"/>
        </w:rPr>
        <w:t>78</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%。决算数与年初预算数的差异原因：</w:t>
      </w:r>
      <w:r>
        <w:rPr>
          <w:rFonts w:hint="eastAsia" w:cs="宋体"/>
          <w:kern w:val="0"/>
          <w:sz w:val="32"/>
          <w:szCs w:val="32"/>
          <w:lang w:eastAsia="zh-CN"/>
        </w:rPr>
        <w:t>公积金缴费基数较低</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六、一般公共预算基本支出决算情况说明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元宝山区人民检察院部门2022年度一般公共预算财政拨款基本支出决算</w:t>
      </w:r>
      <w:r>
        <w:rPr>
          <w:rFonts w:hint="default" w:ascii="Times New Roman" w:hAnsi="Times New Roman" w:eastAsia="宋体" w:cs="Times New Roman"/>
          <w:kern w:val="0"/>
          <w:sz w:val="32"/>
          <w:szCs w:val="32"/>
          <w:u w:val="single"/>
        </w:rPr>
        <w:t>937.39</w:t>
      </w:r>
      <w:r>
        <w:rPr>
          <w:rFonts w:hint="eastAsia" w:ascii="宋体" w:hAnsi="宋体" w:eastAsia="宋体" w:cs="宋体"/>
          <w:kern w:val="0"/>
          <w:sz w:val="32"/>
          <w:szCs w:val="32"/>
        </w:rPr>
        <w:t>万元，其中：</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（一）人员经费</w:t>
      </w:r>
      <w:r>
        <w:rPr>
          <w:rFonts w:hint="default" w:ascii="Times New Roman" w:hAnsi="Times New Roman" w:eastAsia="宋体" w:cs="Times New Roman"/>
          <w:b/>
          <w:bCs/>
          <w:kern w:val="0"/>
          <w:sz w:val="32"/>
          <w:szCs w:val="32"/>
          <w:u w:val="single"/>
        </w:rPr>
        <w:t>824.74</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。主要包括：基本工资、津贴补贴、奖金、社会保障缴费、绩效工资、其他工资福利支出、奖励金、住房公积金等。</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（二）公用经费</w:t>
      </w:r>
      <w:r>
        <w:rPr>
          <w:rFonts w:hint="default" w:ascii="Times New Roman" w:hAnsi="Times New Roman" w:eastAsia="宋体" w:cs="Times New Roman"/>
          <w:b/>
          <w:bCs/>
          <w:kern w:val="0"/>
          <w:sz w:val="32"/>
          <w:szCs w:val="32"/>
          <w:u w:val="single"/>
        </w:rPr>
        <w:t>112.65</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。主要包括：办公费、印刷费、水费、电费、取暖费、物业管理费、差旅费、维修（护）费、公务接待费、委托业务费、工会经费、福利费、公务用车运行维护费、其他交通费用等。</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七、一般公共预算项目支出决算情况说明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元宝山区人民检察院部门2022年度一般公共预算财政拨款项目支出决算</w:t>
      </w:r>
      <w:r>
        <w:rPr>
          <w:rFonts w:hint="default" w:ascii="Times New Roman" w:hAnsi="Times New Roman" w:eastAsia="宋体" w:cs="Times New Roman"/>
          <w:kern w:val="0"/>
          <w:sz w:val="32"/>
          <w:szCs w:val="32"/>
          <w:u w:val="single"/>
        </w:rPr>
        <w:t>330.56</w:t>
      </w:r>
      <w:r>
        <w:rPr>
          <w:rFonts w:hint="eastAsia" w:ascii="宋体" w:hAnsi="宋体" w:eastAsia="宋体" w:cs="宋体"/>
          <w:kern w:val="0"/>
          <w:sz w:val="32"/>
          <w:szCs w:val="32"/>
        </w:rPr>
        <w:t>万元，其中：</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（一）工资福利支出</w:t>
      </w:r>
      <w:r>
        <w:rPr>
          <w:rFonts w:hint="default" w:ascii="Times New Roman" w:hAnsi="Times New Roman" w:eastAsia="宋体" w:cs="Times New Roman"/>
          <w:b/>
          <w:bCs/>
          <w:color w:val="000000"/>
          <w:kern w:val="0"/>
          <w:sz w:val="32"/>
          <w:szCs w:val="32"/>
          <w:u w:val="single"/>
        </w:rPr>
        <w:t>128.76</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（二）商品和服务支出</w:t>
      </w:r>
      <w:r>
        <w:rPr>
          <w:rFonts w:hint="default" w:ascii="Times New Roman" w:hAnsi="Times New Roman" w:eastAsia="宋体" w:cs="Times New Roman"/>
          <w:b/>
          <w:bCs/>
          <w:color w:val="000000"/>
          <w:kern w:val="0"/>
          <w:sz w:val="32"/>
          <w:szCs w:val="32"/>
          <w:u w:val="single"/>
        </w:rPr>
        <w:t>121.25</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办公费、印刷费、咨询费、手续费、水费、电费、邮电费、取暖费、物业管理费、差旅费、维修（护）费、租赁费、会议费、培训费、公务接待费、专用材料费、专用燃料费、劳务费、委托业务费工会经费、福利费、公务用车运行维护费、其他交通费用、税金及附加费用、其他商品和服务支出等。</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八、</w:t>
      </w:r>
      <w:r>
        <w:rPr>
          <w:rFonts w:hint="eastAsia" w:ascii="黑体" w:hAnsi="宋体" w:eastAsia="黑体" w:cs="黑体"/>
          <w:b/>
          <w:bCs/>
          <w:kern w:val="0"/>
          <w:sz w:val="32"/>
          <w:szCs w:val="32"/>
        </w:rPr>
        <w:t>财政拨款</w:t>
      </w:r>
      <w:r>
        <w:rPr>
          <w:rFonts w:hint="default" w:ascii="Times New Roman" w:hAnsi="Times New Roman" w:eastAsia="宋体" w:cs="Times New Roman"/>
          <w:b/>
          <w:bCs/>
          <w:kern w:val="0"/>
          <w:sz w:val="32"/>
          <w:szCs w:val="32"/>
        </w:rPr>
        <w:t>“</w:t>
      </w:r>
      <w:r>
        <w:rPr>
          <w:rFonts w:hint="eastAsia" w:ascii="黑体" w:hAnsi="宋体" w:eastAsia="黑体" w:cs="黑体"/>
          <w:b/>
          <w:bCs/>
          <w:kern w:val="0"/>
          <w:sz w:val="32"/>
          <w:szCs w:val="32"/>
        </w:rPr>
        <w:t>三公</w:t>
      </w:r>
      <w:r>
        <w:rPr>
          <w:rFonts w:hint="default" w:ascii="Times New Roman" w:hAnsi="Times New Roman" w:eastAsia="宋体" w:cs="Times New Roman"/>
          <w:b/>
          <w:bCs/>
          <w:kern w:val="0"/>
          <w:sz w:val="32"/>
          <w:szCs w:val="32"/>
        </w:rPr>
        <w:t>”</w:t>
      </w:r>
      <w:r>
        <w:rPr>
          <w:rFonts w:hint="eastAsia" w:ascii="黑体" w:hAnsi="宋体" w:eastAsia="黑体" w:cs="黑体"/>
          <w:b/>
          <w:bCs/>
          <w:kern w:val="0"/>
          <w:sz w:val="32"/>
          <w:szCs w:val="32"/>
        </w:rPr>
        <w:t>经费支出决算情况说明</w:t>
      </w:r>
    </w:p>
    <w:p>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（一）财政拨款</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三公</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经费支出总体情况说明。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w:t>
      </w:r>
      <w:r>
        <w:rPr>
          <w:rFonts w:hint="default" w:ascii="Times New Roman" w:hAnsi="Times New Roman" w:eastAsia="宋体" w:cs="Times New Roman"/>
          <w:kern w:val="0"/>
          <w:sz w:val="32"/>
          <w:szCs w:val="32"/>
        </w:rPr>
        <w:t xml:space="preserve"> </w:t>
      </w:r>
      <w:r>
        <w:rPr>
          <w:rFonts w:hint="eastAsia" w:ascii="宋体" w:hAnsi="宋体" w:eastAsia="宋体" w:cs="宋体"/>
          <w:kern w:val="0"/>
          <w:sz w:val="32"/>
          <w:szCs w:val="32"/>
        </w:rPr>
        <w:t>2022年度财政拨款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经费预算</w:t>
      </w:r>
      <w:r>
        <w:rPr>
          <w:rFonts w:hint="default" w:ascii="Times New Roman" w:hAnsi="Times New Roman" w:eastAsia="宋体" w:cs="Times New Roman"/>
          <w:kern w:val="0"/>
          <w:sz w:val="32"/>
          <w:szCs w:val="32"/>
          <w:u w:val="single"/>
        </w:rPr>
        <w:t>24.82</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u w:val="single"/>
        </w:rPr>
        <w:t>21.57</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u w:val="single"/>
        </w:rPr>
        <w:t>86.90</w:t>
      </w:r>
      <w:r>
        <w:rPr>
          <w:rFonts w:hint="eastAsia" w:ascii="宋体" w:hAnsi="宋体" w:eastAsia="宋体" w:cs="宋体"/>
          <w:kern w:val="0"/>
          <w:sz w:val="32"/>
          <w:szCs w:val="32"/>
        </w:rPr>
        <w:t>%。其中：因公出国（境）费预算</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%；公务用车购置及运行维护费预算</w:t>
      </w:r>
      <w:r>
        <w:rPr>
          <w:rFonts w:hint="default" w:ascii="Times New Roman" w:hAnsi="Times New Roman" w:eastAsia="宋体" w:cs="Times New Roman"/>
          <w:kern w:val="0"/>
          <w:sz w:val="32"/>
          <w:szCs w:val="32"/>
          <w:u w:val="single"/>
        </w:rPr>
        <w:t>23.58</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u w:val="single"/>
        </w:rPr>
        <w:t>20.33</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u w:val="single"/>
        </w:rPr>
        <w:t>86.21</w:t>
      </w:r>
      <w:r>
        <w:rPr>
          <w:rFonts w:hint="eastAsia" w:ascii="宋体" w:hAnsi="宋体" w:eastAsia="宋体" w:cs="宋体"/>
          <w:kern w:val="0"/>
          <w:sz w:val="32"/>
          <w:szCs w:val="32"/>
        </w:rPr>
        <w:t>%；公务接待费预算</w:t>
      </w:r>
      <w:r>
        <w:rPr>
          <w:rFonts w:hint="default" w:ascii="Times New Roman" w:hAnsi="Times New Roman" w:eastAsia="宋体" w:cs="Times New Roman"/>
          <w:kern w:val="0"/>
          <w:sz w:val="32"/>
          <w:szCs w:val="32"/>
          <w:u w:val="single"/>
        </w:rPr>
        <w:t>1.24</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u w:val="single"/>
        </w:rPr>
        <w:t>1.24</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u w:val="single"/>
        </w:rPr>
        <w:t>100.00</w:t>
      </w:r>
      <w:r>
        <w:rPr>
          <w:rFonts w:hint="eastAsia" w:ascii="宋体" w:hAnsi="宋体" w:eastAsia="宋体" w:cs="宋体"/>
          <w:kern w:val="0"/>
          <w:sz w:val="32"/>
          <w:szCs w:val="32"/>
        </w:rPr>
        <w:t>%。2022年度财政拨款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经费支出决算与预算差异原因</w:t>
      </w:r>
      <w:r>
        <w:rPr>
          <w:rFonts w:hint="eastAsia" w:cs="宋体"/>
          <w:kern w:val="0"/>
          <w:sz w:val="32"/>
          <w:szCs w:val="32"/>
          <w:lang w:eastAsia="zh-CN"/>
        </w:rPr>
        <w:t>：积极</w:t>
      </w:r>
      <w:r>
        <w:rPr>
          <w:rFonts w:hint="eastAsia" w:ascii="宋体" w:hAnsi="宋体" w:eastAsia="宋体" w:cs="宋体"/>
          <w:kern w:val="0"/>
          <w:sz w:val="32"/>
          <w:szCs w:val="32"/>
          <w:lang w:eastAsia="zh-CN"/>
        </w:rPr>
        <w:t>压减三公经费支出</w:t>
      </w:r>
      <w:r>
        <w:rPr>
          <w:rFonts w:hint="eastAsia" w:ascii="宋体" w:hAnsi="宋体" w:eastAsia="宋体" w:cs="宋体"/>
          <w:kern w:val="0"/>
          <w:sz w:val="32"/>
          <w:szCs w:val="32"/>
        </w:rPr>
        <w:t>。</w:t>
      </w:r>
    </w:p>
    <w:p>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（二）财政拨款</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三公</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经费支出具体情况说明。</w:t>
      </w:r>
    </w:p>
    <w:p>
      <w:pPr>
        <w:keepNext/>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经费支出</w:t>
      </w:r>
      <w:r>
        <w:rPr>
          <w:rFonts w:hint="default" w:ascii="Times New Roman" w:hAnsi="Times New Roman" w:eastAsia="宋体" w:cs="Times New Roman"/>
          <w:kern w:val="0"/>
          <w:sz w:val="32"/>
          <w:szCs w:val="32"/>
          <w:u w:val="single"/>
        </w:rPr>
        <w:t>21.57</w:t>
      </w:r>
      <w:r>
        <w:rPr>
          <w:rFonts w:hint="eastAsia" w:ascii="宋体" w:hAnsi="宋体" w:eastAsia="宋体" w:cs="宋体"/>
          <w:kern w:val="0"/>
          <w:sz w:val="32"/>
          <w:szCs w:val="32"/>
        </w:rPr>
        <w:t>万元。因公出国（境）费支出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%；公务用车购置及运行维护费支出</w:t>
      </w:r>
      <w:r>
        <w:rPr>
          <w:rFonts w:hint="default" w:ascii="Times New Roman" w:hAnsi="Times New Roman" w:eastAsia="宋体" w:cs="Times New Roman"/>
          <w:kern w:val="0"/>
          <w:sz w:val="32"/>
          <w:szCs w:val="32"/>
          <w:u w:val="single"/>
        </w:rPr>
        <w:t>20.33</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94.26</w:t>
      </w:r>
      <w:r>
        <w:rPr>
          <w:rFonts w:hint="eastAsia" w:ascii="宋体" w:hAnsi="宋体" w:eastAsia="宋体" w:cs="宋体"/>
          <w:kern w:val="0"/>
          <w:sz w:val="32"/>
          <w:szCs w:val="32"/>
        </w:rPr>
        <w:t>%；公务接待费支出</w:t>
      </w:r>
      <w:r>
        <w:rPr>
          <w:rFonts w:hint="default" w:ascii="Times New Roman" w:hAnsi="Times New Roman" w:eastAsia="宋体" w:cs="Times New Roman"/>
          <w:kern w:val="0"/>
          <w:sz w:val="32"/>
          <w:szCs w:val="32"/>
          <w:u w:val="single"/>
        </w:rPr>
        <w:t>1.24</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u w:val="single"/>
        </w:rPr>
        <w:t>5.74</w:t>
      </w:r>
      <w:r>
        <w:rPr>
          <w:rFonts w:hint="eastAsia" w:ascii="宋体" w:hAnsi="宋体" w:eastAsia="宋体" w:cs="宋体"/>
          <w:kern w:val="0"/>
          <w:sz w:val="32"/>
          <w:szCs w:val="32"/>
        </w:rPr>
        <w:t>%。其中：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因公出国（境）费支出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万元，全年出国（境）团组</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个，累计</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人次。与上年决算相比，增加（减少）</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万元，增长（减少）</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公务用车购置及运行维护费支出</w:t>
      </w:r>
      <w:r>
        <w:rPr>
          <w:rFonts w:hint="default" w:ascii="Times New Roman" w:hAnsi="Times New Roman" w:eastAsia="宋体" w:cs="Times New Roman"/>
          <w:kern w:val="0"/>
          <w:sz w:val="32"/>
          <w:szCs w:val="32"/>
          <w:u w:val="single"/>
        </w:rPr>
        <w:t>20.33</w:t>
      </w:r>
      <w:r>
        <w:rPr>
          <w:rFonts w:hint="eastAsia" w:ascii="宋体" w:hAnsi="宋体" w:eastAsia="宋体" w:cs="宋体"/>
          <w:kern w:val="0"/>
          <w:sz w:val="32"/>
          <w:szCs w:val="32"/>
        </w:rPr>
        <w:t>万元。其中：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）公务用车购置支出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万元。本年度使用财政拨款购置公务用车</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辆。与上年决算相比，减少</w:t>
      </w:r>
      <w:r>
        <w:rPr>
          <w:rFonts w:hint="default" w:ascii="Times New Roman" w:hAnsi="Times New Roman" w:eastAsia="宋体" w:cs="Times New Roman"/>
          <w:kern w:val="0"/>
          <w:sz w:val="32"/>
          <w:szCs w:val="32"/>
          <w:u w:val="single"/>
        </w:rPr>
        <w:t>27.19</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u w:val="single"/>
        </w:rPr>
        <w:t>100.00</w:t>
      </w:r>
      <w:r>
        <w:rPr>
          <w:rFonts w:hint="eastAsia" w:ascii="宋体" w:hAnsi="宋体" w:eastAsia="宋体" w:cs="宋体"/>
          <w:kern w:val="0"/>
          <w:sz w:val="32"/>
          <w:szCs w:val="32"/>
        </w:rPr>
        <w:t>%，变动原因：</w:t>
      </w:r>
      <w:r>
        <w:rPr>
          <w:rFonts w:hint="eastAsia" w:cs="宋体"/>
          <w:kern w:val="0"/>
          <w:sz w:val="32"/>
          <w:szCs w:val="32"/>
          <w:lang w:eastAsia="zh-CN"/>
        </w:rPr>
        <w:t>本年度无购车计划</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）公务用车运行维护费支出</w:t>
      </w:r>
      <w:r>
        <w:rPr>
          <w:rFonts w:hint="default" w:ascii="Times New Roman" w:hAnsi="Times New Roman" w:eastAsia="宋体" w:cs="Times New Roman"/>
          <w:kern w:val="0"/>
          <w:sz w:val="32"/>
          <w:szCs w:val="32"/>
          <w:u w:val="single"/>
        </w:rPr>
        <w:t>20.33</w:t>
      </w:r>
      <w:r>
        <w:rPr>
          <w:rFonts w:hint="eastAsia" w:ascii="宋体" w:hAnsi="宋体" w:eastAsia="宋体" w:cs="宋体"/>
          <w:kern w:val="0"/>
          <w:sz w:val="32"/>
          <w:szCs w:val="32"/>
        </w:rPr>
        <w:t>万元。公务用车运行维护费主要用于按规定保留的公务用车的燃料费、维修费、过桥过路费、保险费、安全奖励费用等支出。截至</w:t>
      </w:r>
      <w:r>
        <w:rPr>
          <w:rFonts w:hint="default" w:ascii="Times New Roman" w:hAnsi="Times New Roman" w:eastAsia="宋体" w:cs="Times New Roman"/>
          <w:kern w:val="0"/>
          <w:sz w:val="32"/>
          <w:szCs w:val="32"/>
        </w:rPr>
        <w:t>2022</w:t>
      </w:r>
      <w:r>
        <w:rPr>
          <w:rFonts w:hint="eastAsia" w:ascii="宋体" w:hAnsi="宋体" w:eastAsia="宋体" w:cs="宋体"/>
          <w:kern w:val="0"/>
          <w:sz w:val="32"/>
          <w:szCs w:val="32"/>
        </w:rPr>
        <w:t>年</w:t>
      </w:r>
      <w:r>
        <w:rPr>
          <w:rFonts w:hint="default" w:ascii="Times New Roman" w:hAnsi="Times New Roman" w:eastAsia="宋体" w:cs="Times New Roman"/>
          <w:kern w:val="0"/>
          <w:sz w:val="32"/>
          <w:szCs w:val="32"/>
        </w:rPr>
        <w:t>12</w:t>
      </w:r>
      <w:r>
        <w:rPr>
          <w:rFonts w:hint="eastAsia" w:ascii="宋体" w:hAnsi="宋体" w:eastAsia="宋体" w:cs="宋体"/>
          <w:kern w:val="0"/>
          <w:sz w:val="32"/>
          <w:szCs w:val="32"/>
        </w:rPr>
        <w:t>月</w:t>
      </w:r>
      <w:r>
        <w:rPr>
          <w:rFonts w:hint="default" w:ascii="Times New Roman" w:hAnsi="Times New Roman" w:eastAsia="宋体" w:cs="Times New Roman"/>
          <w:kern w:val="0"/>
          <w:sz w:val="32"/>
          <w:szCs w:val="32"/>
        </w:rPr>
        <w:t>31</w:t>
      </w:r>
      <w:r>
        <w:rPr>
          <w:rFonts w:hint="eastAsia" w:ascii="宋体" w:hAnsi="宋体" w:eastAsia="宋体" w:cs="宋体"/>
          <w:kern w:val="0"/>
          <w:sz w:val="32"/>
          <w:szCs w:val="32"/>
        </w:rPr>
        <w:t>日，使用财政拨款开支的公务用车保有量为</w:t>
      </w:r>
      <w:r>
        <w:rPr>
          <w:rFonts w:hint="default" w:ascii="Times New Roman" w:hAnsi="Times New Roman" w:eastAsia="宋体" w:cs="Times New Roman"/>
          <w:kern w:val="0"/>
          <w:sz w:val="32"/>
          <w:szCs w:val="32"/>
          <w:u w:val="single"/>
        </w:rPr>
        <w:t>13</w:t>
      </w:r>
      <w:r>
        <w:rPr>
          <w:rFonts w:hint="eastAsia" w:ascii="宋体" w:hAnsi="宋体" w:eastAsia="宋体" w:cs="宋体"/>
          <w:kern w:val="0"/>
          <w:sz w:val="32"/>
          <w:szCs w:val="32"/>
        </w:rPr>
        <w:t>辆。与上年决算相比，增加</w:t>
      </w:r>
      <w:r>
        <w:rPr>
          <w:rFonts w:hint="default" w:ascii="Times New Roman" w:hAnsi="Times New Roman" w:eastAsia="宋体" w:cs="Times New Roman"/>
          <w:kern w:val="0"/>
          <w:sz w:val="32"/>
          <w:szCs w:val="32"/>
          <w:u w:val="single"/>
        </w:rPr>
        <w:t>3.21</w:t>
      </w:r>
      <w:r>
        <w:rPr>
          <w:rFonts w:hint="eastAsia" w:ascii="宋体" w:hAnsi="宋体" w:eastAsia="宋体" w:cs="宋体"/>
          <w:kern w:val="0"/>
          <w:sz w:val="32"/>
          <w:szCs w:val="32"/>
        </w:rPr>
        <w:t>万元，增长</w:t>
      </w:r>
      <w:r>
        <w:rPr>
          <w:rFonts w:hint="default" w:ascii="Times New Roman" w:hAnsi="Times New Roman" w:eastAsia="宋体" w:cs="Times New Roman"/>
          <w:kern w:val="0"/>
          <w:sz w:val="30"/>
          <w:szCs w:val="30"/>
          <w:u w:val="single"/>
        </w:rPr>
        <w:t>18.78</w:t>
      </w:r>
      <w:r>
        <w:rPr>
          <w:rFonts w:hint="eastAsia" w:ascii="宋体" w:hAnsi="宋体" w:eastAsia="宋体" w:cs="宋体"/>
          <w:kern w:val="0"/>
          <w:sz w:val="32"/>
          <w:szCs w:val="32"/>
        </w:rPr>
        <w:t>%，变动原因：</w:t>
      </w:r>
      <w:r>
        <w:rPr>
          <w:rFonts w:hint="eastAsia" w:cs="宋体"/>
          <w:kern w:val="0"/>
          <w:sz w:val="32"/>
          <w:szCs w:val="32"/>
          <w:lang w:eastAsia="zh-CN"/>
        </w:rPr>
        <w:t>协助当地政府开展防疫工作用车较多</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公务接待费支出</w:t>
      </w:r>
      <w:r>
        <w:rPr>
          <w:rFonts w:hint="default" w:ascii="Times New Roman" w:hAnsi="Times New Roman" w:eastAsia="宋体" w:cs="Times New Roman"/>
          <w:kern w:val="0"/>
          <w:sz w:val="32"/>
          <w:szCs w:val="32"/>
          <w:u w:val="single"/>
        </w:rPr>
        <w:t>1.24</w:t>
      </w:r>
      <w:r>
        <w:rPr>
          <w:rFonts w:hint="eastAsia" w:ascii="宋体" w:hAnsi="宋体" w:eastAsia="宋体" w:cs="宋体"/>
          <w:kern w:val="0"/>
          <w:sz w:val="32"/>
          <w:szCs w:val="32"/>
        </w:rPr>
        <w:t>万元。其中：国内公务接待支出</w:t>
      </w:r>
      <w:r>
        <w:rPr>
          <w:rFonts w:hint="default" w:ascii="Times New Roman" w:hAnsi="Times New Roman" w:eastAsia="宋体" w:cs="Times New Roman"/>
          <w:kern w:val="0"/>
          <w:sz w:val="32"/>
          <w:szCs w:val="32"/>
          <w:u w:val="single"/>
        </w:rPr>
        <w:t>1.24</w:t>
      </w:r>
      <w:r>
        <w:rPr>
          <w:rFonts w:hint="eastAsia" w:ascii="宋体" w:hAnsi="宋体" w:eastAsia="宋体" w:cs="宋体"/>
          <w:kern w:val="0"/>
          <w:sz w:val="32"/>
          <w:szCs w:val="32"/>
        </w:rPr>
        <w:t>万元，接待</w:t>
      </w:r>
      <w:r>
        <w:rPr>
          <w:rFonts w:hint="default" w:ascii="Times New Roman" w:hAnsi="Times New Roman" w:eastAsia="宋体" w:cs="Times New Roman"/>
          <w:kern w:val="0"/>
          <w:sz w:val="32"/>
          <w:szCs w:val="32"/>
          <w:u w:val="single"/>
        </w:rPr>
        <w:t>13</w:t>
      </w:r>
      <w:r>
        <w:rPr>
          <w:rFonts w:hint="eastAsia" w:ascii="宋体" w:hAnsi="宋体" w:eastAsia="宋体" w:cs="宋体"/>
          <w:kern w:val="0"/>
          <w:sz w:val="32"/>
          <w:szCs w:val="32"/>
        </w:rPr>
        <w:t>批次，</w:t>
      </w:r>
      <w:r>
        <w:rPr>
          <w:rFonts w:hint="default" w:ascii="Times New Roman" w:hAnsi="Times New Roman" w:eastAsia="宋体" w:cs="Times New Roman"/>
          <w:kern w:val="0"/>
          <w:sz w:val="32"/>
          <w:szCs w:val="32"/>
          <w:u w:val="single"/>
        </w:rPr>
        <w:t>345</w:t>
      </w:r>
      <w:r>
        <w:rPr>
          <w:rFonts w:hint="eastAsia" w:ascii="宋体" w:hAnsi="宋体" w:eastAsia="宋体" w:cs="宋体"/>
          <w:kern w:val="0"/>
          <w:sz w:val="32"/>
          <w:szCs w:val="32"/>
        </w:rPr>
        <w:t>人次，开支内容：……；国（境）外公务接待支出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万元，接待</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批次，</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人次。与上年决算相比，增加</w:t>
      </w:r>
      <w:r>
        <w:rPr>
          <w:rFonts w:hint="default" w:ascii="Times New Roman" w:hAnsi="Times New Roman" w:eastAsia="宋体" w:cs="Times New Roman"/>
          <w:kern w:val="0"/>
          <w:sz w:val="32"/>
          <w:szCs w:val="32"/>
          <w:u w:val="single"/>
        </w:rPr>
        <w:t>0.29</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30.59</w:t>
      </w:r>
      <w:r>
        <w:rPr>
          <w:rFonts w:hint="eastAsia" w:ascii="宋体" w:hAnsi="宋体" w:eastAsia="宋体" w:cs="宋体"/>
          <w:kern w:val="0"/>
          <w:sz w:val="32"/>
          <w:szCs w:val="32"/>
        </w:rPr>
        <w:t>%，变动原因：</w:t>
      </w:r>
      <w:r>
        <w:rPr>
          <w:rFonts w:hint="eastAsia" w:cs="宋体"/>
          <w:kern w:val="0"/>
          <w:sz w:val="32"/>
          <w:szCs w:val="32"/>
          <w:lang w:eastAsia="zh-CN"/>
        </w:rPr>
        <w:t>公务接待活动有所增加</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九、</w:t>
      </w:r>
      <w:r>
        <w:rPr>
          <w:rFonts w:hint="eastAsia" w:ascii="黑体" w:hAnsi="宋体" w:eastAsia="黑体" w:cs="黑体"/>
          <w:b/>
          <w:bCs/>
          <w:kern w:val="0"/>
          <w:sz w:val="32"/>
          <w:szCs w:val="32"/>
        </w:rPr>
        <w:t>政府性基金预算财政拨款支出决算情况说明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元宝山区人民检察院部门2022年度政府性基金支出决算</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万元，增长（减少）</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w:t>
      </w:r>
      <w:r>
        <w:rPr>
          <w:rFonts w:hint="eastAsia" w:cs="宋体"/>
          <w:kern w:val="0"/>
          <w:sz w:val="32"/>
          <w:szCs w:val="32"/>
          <w:lang w:eastAsia="zh-CN"/>
        </w:rPr>
        <w:t>。</w:t>
      </w:r>
      <w:r>
        <w:rPr>
          <w:rFonts w:hint="eastAsia" w:ascii="宋体" w:hAnsi="宋体" w:eastAsia="宋体" w:cs="宋体"/>
          <w:kern w:val="0"/>
          <w:sz w:val="32"/>
          <w:szCs w:val="32"/>
        </w:rPr>
        <w:t>其中：</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（一）城乡社区支出（类）政府住房基金及对应专项债务收入安排的支出（款）管理费用支出（项）支出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w:t>
      </w:r>
      <w:r>
        <w:rPr>
          <w:rFonts w:hint="eastAsia" w:ascii="黑体" w:hAnsi="宋体" w:eastAsia="黑体" w:cs="黑体"/>
          <w:b/>
          <w:bCs/>
          <w:kern w:val="0"/>
          <w:sz w:val="32"/>
          <w:szCs w:val="32"/>
        </w:rPr>
        <w:t>国有资本经营预算财政拨款支出决算情况说明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元宝山区人民检察院部门2022年度国有资本经营预算支出决算</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%。其中：</w:t>
      </w:r>
    </w:p>
    <w:p>
      <w:pPr>
        <w:keepNext/>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十一、</w:t>
      </w:r>
      <w:r>
        <w:rPr>
          <w:rFonts w:hint="eastAsia" w:ascii="黑体" w:hAnsi="宋体" w:eastAsia="黑体" w:cs="黑体"/>
          <w:b/>
          <w:bCs/>
          <w:kern w:val="0"/>
          <w:sz w:val="32"/>
          <w:szCs w:val="32"/>
        </w:rPr>
        <w:t>项目支出决算情况说明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元宝山区人民检察院部门2022年度预算安排项目</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个，实施项目</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5</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个，完成项目</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5</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个，项目支出总金额</w:t>
      </w:r>
      <w:r>
        <w:rPr>
          <w:rFonts w:hint="default" w:ascii="Times New Roman" w:hAnsi="Times New Roman" w:eastAsia="宋体" w:cs="Times New Roman"/>
          <w:kern w:val="0"/>
          <w:sz w:val="32"/>
          <w:szCs w:val="32"/>
          <w:u w:val="single"/>
        </w:rPr>
        <w:t>330.56</w:t>
      </w:r>
      <w:r>
        <w:rPr>
          <w:rFonts w:hint="eastAsia" w:ascii="宋体" w:hAnsi="宋体" w:eastAsia="宋体" w:cs="宋体"/>
          <w:kern w:val="0"/>
          <w:sz w:val="32"/>
          <w:szCs w:val="32"/>
        </w:rPr>
        <w:t>万元。资金来源包括年初结转结余</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万元，本年财政拨款金额</w:t>
      </w:r>
      <w:r>
        <w:rPr>
          <w:rFonts w:hint="default" w:ascii="Times New Roman" w:hAnsi="Times New Roman" w:eastAsia="宋体" w:cs="Times New Roman"/>
          <w:kern w:val="0"/>
          <w:sz w:val="32"/>
          <w:szCs w:val="32"/>
          <w:u w:val="single"/>
        </w:rPr>
        <w:t>330.56</w:t>
      </w:r>
      <w:r>
        <w:rPr>
          <w:rFonts w:hint="eastAsia" w:ascii="宋体" w:hAnsi="宋体" w:eastAsia="宋体" w:cs="宋体"/>
          <w:kern w:val="0"/>
          <w:sz w:val="32"/>
          <w:szCs w:val="32"/>
        </w:rPr>
        <w:t>万元，本年其他资金</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十二、</w:t>
      </w:r>
      <w:r>
        <w:rPr>
          <w:rFonts w:hint="eastAsia" w:ascii="黑体" w:hAnsi="宋体" w:eastAsia="黑体" w:cs="黑体"/>
          <w:b/>
          <w:bCs/>
          <w:kern w:val="0"/>
          <w:sz w:val="32"/>
          <w:szCs w:val="32"/>
        </w:rPr>
        <w:t>机构运行经费支出决算情况说明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元宝山区人民检察院部门2022年度机构运行经费支出决算</w:t>
      </w:r>
      <w:r>
        <w:rPr>
          <w:rFonts w:hint="default" w:ascii="Times New Roman" w:hAnsi="Times New Roman" w:eastAsia="宋体" w:cs="Times New Roman"/>
          <w:kern w:val="0"/>
          <w:sz w:val="32"/>
          <w:szCs w:val="32"/>
          <w:u w:val="single"/>
        </w:rPr>
        <w:t>112.65</w:t>
      </w:r>
      <w:r>
        <w:rPr>
          <w:rFonts w:hint="eastAsia" w:ascii="宋体" w:hAnsi="宋体" w:eastAsia="宋体" w:cs="宋体"/>
          <w:kern w:val="0"/>
          <w:sz w:val="32"/>
          <w:szCs w:val="32"/>
        </w:rPr>
        <w:t>万元。比上年决算相比，减少</w:t>
      </w:r>
      <w:r>
        <w:rPr>
          <w:rFonts w:hint="default" w:ascii="Times New Roman" w:hAnsi="Times New Roman" w:eastAsia="宋体" w:cs="Times New Roman"/>
          <w:kern w:val="0"/>
          <w:sz w:val="32"/>
          <w:szCs w:val="32"/>
          <w:u w:val="single"/>
        </w:rPr>
        <w:t>57.99</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u w:val="single"/>
        </w:rPr>
        <w:t>33.98</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十三、</w:t>
      </w:r>
      <w:r>
        <w:rPr>
          <w:rFonts w:hint="eastAsia" w:ascii="黑体" w:hAnsi="宋体" w:eastAsia="黑体" w:cs="黑体"/>
          <w:b/>
          <w:bCs/>
          <w:kern w:val="0"/>
          <w:sz w:val="32"/>
          <w:szCs w:val="32"/>
        </w:rPr>
        <w:t>政府采购支出决算情况说明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元宝山区人民检察院部门2022年度政府采购支出总额</w:t>
      </w:r>
      <w:r>
        <w:rPr>
          <w:rFonts w:hint="eastAsia" w:ascii="Times New Roman" w:hAnsi="Times New Roman" w:cs="Times New Roman"/>
          <w:kern w:val="0"/>
          <w:sz w:val="32"/>
          <w:szCs w:val="32"/>
          <w:u w:val="single"/>
          <w:lang w:val="en-US" w:eastAsia="zh-CN"/>
        </w:rPr>
        <w:t>62</w:t>
      </w:r>
      <w:r>
        <w:rPr>
          <w:rFonts w:hint="eastAsia" w:ascii="宋体" w:hAnsi="宋体" w:eastAsia="宋体" w:cs="宋体"/>
          <w:kern w:val="0"/>
          <w:sz w:val="32"/>
          <w:szCs w:val="32"/>
        </w:rPr>
        <w:t>万元，其中：政府采购货物支出</w:t>
      </w:r>
      <w:r>
        <w:rPr>
          <w:rFonts w:hint="eastAsia" w:ascii="Times New Roman" w:hAnsi="Times New Roman" w:cs="Times New Roman"/>
          <w:kern w:val="0"/>
          <w:sz w:val="32"/>
          <w:szCs w:val="32"/>
          <w:u w:val="single"/>
          <w:lang w:val="en-US" w:eastAsia="zh-CN"/>
        </w:rPr>
        <w:t>62</w:t>
      </w:r>
      <w:r>
        <w:rPr>
          <w:rFonts w:hint="eastAsia" w:ascii="宋体" w:hAnsi="宋体" w:eastAsia="宋体" w:cs="宋体"/>
          <w:kern w:val="0"/>
          <w:sz w:val="32"/>
          <w:szCs w:val="32"/>
        </w:rPr>
        <w:t>万元、政府采购工程支出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万元、政府采购服务支出</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万元。授予中小企业合同金额</w:t>
      </w:r>
      <w:r>
        <w:rPr>
          <w:rFonts w:hint="eastAsia" w:ascii="Times New Roman" w:hAnsi="Times New Roman" w:cs="Times New Roman"/>
          <w:kern w:val="0"/>
          <w:sz w:val="32"/>
          <w:szCs w:val="32"/>
          <w:u w:val="single"/>
          <w:lang w:val="en-US" w:eastAsia="zh-CN"/>
        </w:rPr>
        <w:t>62</w:t>
      </w:r>
      <w:r>
        <w:rPr>
          <w:rFonts w:hint="eastAsia" w:ascii="宋体" w:hAnsi="宋体" w:eastAsia="宋体" w:cs="宋体"/>
          <w:kern w:val="0"/>
          <w:sz w:val="32"/>
          <w:szCs w:val="32"/>
        </w:rPr>
        <w:t>万元，占政府采购支出总额的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100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%，其中：授予小微企业合同金额</w:t>
      </w:r>
      <w:r>
        <w:rPr>
          <w:rFonts w:hint="eastAsia" w:cs="宋体"/>
          <w:kern w:val="0"/>
          <w:sz w:val="32"/>
          <w:szCs w:val="32"/>
          <w:lang w:val="en-US" w:eastAsia="zh-CN"/>
        </w:rPr>
        <w:t>62</w:t>
      </w:r>
      <w:r>
        <w:rPr>
          <w:rFonts w:hint="eastAsia" w:ascii="宋体" w:hAnsi="宋体" w:eastAsia="宋体" w:cs="宋体"/>
          <w:kern w:val="0"/>
          <w:sz w:val="32"/>
          <w:szCs w:val="32"/>
        </w:rPr>
        <w:t>万元，占授予中小企业合同金额的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100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w:t>
      </w:r>
      <w:r>
        <w:rPr>
          <w:rFonts w:hint="eastAsia" w:ascii="宋体" w:hAnsi="宋体" w:eastAsia="宋体" w:cs="宋体"/>
          <w:color w:val="000000"/>
          <w:kern w:val="0"/>
          <w:sz w:val="32"/>
          <w:szCs w:val="32"/>
        </w:rPr>
        <w:t>货物采购授予中小企业合同金额占货物支出合同金额的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62</w:t>
      </w:r>
      <w:r>
        <w:rPr>
          <w:rFonts w:hint="default" w:ascii="Times New Roman" w:hAnsi="Times New Roman" w:eastAsia="宋体" w:cs="Times New Roman"/>
          <w:kern w:val="0"/>
          <w:sz w:val="32"/>
          <w:szCs w:val="32"/>
          <w:u w:val="single"/>
        </w:rPr>
        <w:t xml:space="preserve">  </w:t>
      </w:r>
      <w:r>
        <w:rPr>
          <w:rFonts w:hint="eastAsia" w:ascii="宋体" w:hAnsi="宋体" w:eastAsia="宋体" w:cs="宋体"/>
          <w:color w:val="000000"/>
          <w:kern w:val="0"/>
          <w:sz w:val="32"/>
          <w:szCs w:val="32"/>
        </w:rPr>
        <w:t xml:space="preserve"> %，工程采购授予中小企业合同金额占工程支出合同金额的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color w:val="000000"/>
          <w:kern w:val="0"/>
          <w:sz w:val="32"/>
          <w:szCs w:val="32"/>
        </w:rPr>
        <w:t>%，服务采购授予中小企业合同金额占服务支出合同金额的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color w:val="000000"/>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p>
    <w:p>
      <w:pPr>
        <w:keepNext/>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十四、</w:t>
      </w:r>
      <w:r>
        <w:rPr>
          <w:rFonts w:hint="eastAsia" w:ascii="黑体" w:hAnsi="宋体" w:eastAsia="黑体" w:cs="黑体"/>
          <w:b/>
          <w:bCs/>
          <w:kern w:val="0"/>
          <w:sz w:val="32"/>
          <w:szCs w:val="32"/>
        </w:rPr>
        <w:t>国有资产占用情况说明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元宝山区人民检察院部门截至</w:t>
      </w:r>
      <w:r>
        <w:rPr>
          <w:rFonts w:hint="default" w:ascii="Times New Roman" w:hAnsi="Times New Roman" w:eastAsia="宋体" w:cs="Times New Roman"/>
          <w:kern w:val="0"/>
          <w:sz w:val="32"/>
          <w:szCs w:val="32"/>
        </w:rPr>
        <w:t>2022</w:t>
      </w:r>
      <w:r>
        <w:rPr>
          <w:rFonts w:hint="eastAsia" w:ascii="宋体" w:hAnsi="宋体" w:eastAsia="宋体" w:cs="宋体"/>
          <w:kern w:val="0"/>
          <w:sz w:val="32"/>
          <w:szCs w:val="32"/>
        </w:rPr>
        <w:t>年</w:t>
      </w:r>
      <w:r>
        <w:rPr>
          <w:rFonts w:hint="default" w:ascii="Times New Roman" w:hAnsi="Times New Roman" w:eastAsia="宋体" w:cs="Times New Roman"/>
          <w:kern w:val="0"/>
          <w:sz w:val="32"/>
          <w:szCs w:val="32"/>
        </w:rPr>
        <w:t>12</w:t>
      </w:r>
      <w:r>
        <w:rPr>
          <w:rFonts w:hint="eastAsia" w:ascii="宋体" w:hAnsi="宋体" w:eastAsia="宋体" w:cs="宋体"/>
          <w:kern w:val="0"/>
          <w:sz w:val="32"/>
          <w:szCs w:val="32"/>
        </w:rPr>
        <w:t>月</w:t>
      </w:r>
      <w:r>
        <w:rPr>
          <w:rFonts w:hint="default" w:ascii="Times New Roman" w:hAnsi="Times New Roman" w:eastAsia="宋体" w:cs="Times New Roman"/>
          <w:kern w:val="0"/>
          <w:sz w:val="32"/>
          <w:szCs w:val="32"/>
        </w:rPr>
        <w:t>31</w:t>
      </w:r>
      <w:r>
        <w:rPr>
          <w:rFonts w:hint="eastAsia" w:ascii="宋体" w:hAnsi="宋体" w:eastAsia="宋体" w:cs="宋体"/>
          <w:kern w:val="0"/>
          <w:sz w:val="32"/>
          <w:szCs w:val="32"/>
        </w:rPr>
        <w:t>日，本部门共有车辆</w:t>
      </w:r>
      <w:r>
        <w:rPr>
          <w:rFonts w:hint="default" w:ascii="Times New Roman" w:hAnsi="Times New Roman" w:eastAsia="宋体" w:cs="Times New Roman"/>
          <w:kern w:val="0"/>
          <w:sz w:val="32"/>
          <w:szCs w:val="32"/>
          <w:u w:val="single"/>
        </w:rPr>
        <w:t>13</w:t>
      </w:r>
      <w:r>
        <w:rPr>
          <w:rFonts w:hint="eastAsia" w:ascii="宋体" w:hAnsi="宋体" w:eastAsia="宋体" w:cs="宋体"/>
          <w:kern w:val="0"/>
          <w:sz w:val="32"/>
          <w:szCs w:val="32"/>
        </w:rPr>
        <w:t>辆，其中：副部（省）级及以上领导用车</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辆、主要领导干部用车</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辆、机要通信用车</w:t>
      </w:r>
      <w:r>
        <w:rPr>
          <w:rFonts w:hint="default" w:ascii="Times New Roman" w:hAnsi="Times New Roman" w:eastAsia="宋体" w:cs="Times New Roman"/>
          <w:kern w:val="0"/>
          <w:sz w:val="32"/>
          <w:szCs w:val="32"/>
          <w:u w:val="single"/>
        </w:rPr>
        <w:t>2</w:t>
      </w:r>
      <w:r>
        <w:rPr>
          <w:rFonts w:hint="eastAsia" w:ascii="宋体" w:hAnsi="宋体" w:eastAsia="宋体" w:cs="宋体"/>
          <w:kern w:val="0"/>
          <w:sz w:val="32"/>
          <w:szCs w:val="32"/>
        </w:rPr>
        <w:t>辆、应急保障用车</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辆、执法执勤用车</w:t>
      </w:r>
      <w:r>
        <w:rPr>
          <w:rFonts w:hint="default" w:ascii="Times New Roman" w:hAnsi="Times New Roman" w:eastAsia="宋体" w:cs="Times New Roman"/>
          <w:kern w:val="0"/>
          <w:sz w:val="32"/>
          <w:szCs w:val="32"/>
          <w:u w:val="single"/>
        </w:rPr>
        <w:t>11</w:t>
      </w:r>
      <w:r>
        <w:rPr>
          <w:rFonts w:hint="eastAsia" w:ascii="宋体" w:hAnsi="宋体" w:eastAsia="宋体" w:cs="宋体"/>
          <w:kern w:val="0"/>
          <w:sz w:val="32"/>
          <w:szCs w:val="32"/>
        </w:rPr>
        <w:t>辆、特种专业技术用车</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辆、离退休干部用车</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辆，其他用车</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辆；单价</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万元（含）以上的设备（不含车辆）</w:t>
      </w:r>
      <w:r>
        <w:rPr>
          <w:rFonts w:hint="default" w:ascii="Times New Roman" w:hAnsi="Times New Roman" w:eastAsia="宋体" w:cs="Times New Roman"/>
          <w:kern w:val="0"/>
          <w:sz w:val="32"/>
          <w:szCs w:val="32"/>
          <w:u w:val="single"/>
        </w:rPr>
        <w:t>0</w:t>
      </w:r>
      <w:r>
        <w:rPr>
          <w:rFonts w:hint="eastAsia" w:ascii="宋体" w:hAnsi="宋体" w:eastAsia="宋体" w:cs="宋体"/>
          <w:kern w:val="0"/>
          <w:sz w:val="32"/>
          <w:szCs w:val="32"/>
        </w:rPr>
        <w:t>台（套）。</w:t>
      </w:r>
    </w:p>
    <w:p>
      <w:pPr>
        <w:keepNext w:val="0"/>
        <w:keepLines w:val="0"/>
        <w:widowControl/>
        <w:suppressLineNumbers w:val="0"/>
        <w:spacing w:before="0" w:beforeAutospacing="1" w:after="0" w:afterAutospacing="1" w:line="600" w:lineRule="atLeast"/>
        <w:ind w:left="0" w:righ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十五、</w:t>
      </w:r>
      <w:r>
        <w:rPr>
          <w:rFonts w:hint="eastAsia" w:ascii="黑体" w:hAnsi="宋体" w:eastAsia="黑体" w:cs="黑体"/>
          <w:b/>
          <w:bCs/>
          <w:kern w:val="0"/>
          <w:sz w:val="32"/>
          <w:szCs w:val="32"/>
        </w:rPr>
        <w:t>预算绩效情况说明</w:t>
      </w:r>
    </w:p>
    <w:p>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（一）预算绩效管理工作开展情况。</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元宝山区人民检察院部门根据预算绩效管理要求组织对2022年一般公共预算项目支出全面开展绩效自评，其中一级项目</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2</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个，二级项目</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个，共涉及资金</w:t>
      </w:r>
      <w:r>
        <w:rPr>
          <w:rFonts w:hint="default" w:ascii="Times New Roman" w:hAnsi="Times New Roman" w:eastAsia="宋体" w:cs="Times New Roman"/>
          <w:kern w:val="0"/>
          <w:sz w:val="32"/>
          <w:szCs w:val="32"/>
          <w:u w:val="single"/>
        </w:rPr>
        <w:t>330.56</w:t>
      </w:r>
      <w:r>
        <w:rPr>
          <w:rFonts w:hint="eastAsia" w:ascii="宋体" w:hAnsi="宋体" w:eastAsia="宋体" w:cs="宋体"/>
          <w:kern w:val="0"/>
          <w:sz w:val="32"/>
          <w:szCs w:val="32"/>
        </w:rPr>
        <w:t>万元，占一般公共预算项目支出总额的</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%；政府性基金预算项目</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个，其中，一级项目</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个，二级项目</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个，共涉及资金</w:t>
      </w:r>
      <w:r>
        <w:rPr>
          <w:rFonts w:hint="default" w:ascii="Times New Roman" w:hAnsi="Times New Roman" w:eastAsia="宋体" w:cs="Times New Roman"/>
          <w:kern w:val="0"/>
          <w:sz w:val="32"/>
          <w:szCs w:val="32"/>
          <w:u w:val="single"/>
        </w:rPr>
        <w:t>0.00</w:t>
      </w:r>
      <w:r>
        <w:rPr>
          <w:rFonts w:hint="eastAsia" w:ascii="宋体" w:hAnsi="宋体" w:eastAsia="宋体" w:cs="宋体"/>
          <w:kern w:val="0"/>
          <w:sz w:val="32"/>
          <w:szCs w:val="32"/>
        </w:rPr>
        <w:t>万元，占应纳入绩效自评的政府性基金预算项目支出总额的</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组织对</w:t>
      </w:r>
      <w:r>
        <w:rPr>
          <w:rFonts w:hint="default" w:ascii="Times New Roman" w:hAnsi="Times New Roman" w:eastAsia="宋体" w:cs="Times New Roman"/>
          <w:kern w:val="0"/>
          <w:sz w:val="32"/>
          <w:szCs w:val="32"/>
        </w:rPr>
        <w:t>“</w:t>
      </w:r>
      <w:r>
        <w:rPr>
          <w:rFonts w:hint="eastAsia" w:ascii="Times New Roman" w:hAnsi="Times New Roman" w:cs="Times New Roman"/>
          <w:kern w:val="0"/>
          <w:sz w:val="32"/>
          <w:szCs w:val="32"/>
          <w:lang w:eastAsia="zh-CN"/>
        </w:rPr>
        <w:t>办案业务费</w:t>
      </w:r>
      <w:r>
        <w:rPr>
          <w:rFonts w:hint="eastAsia" w:ascii="宋体" w:hAnsi="宋体" w:eastAsia="宋体" w:cs="宋体"/>
          <w:kern w:val="0"/>
          <w:sz w:val="32"/>
          <w:szCs w:val="32"/>
        </w:rPr>
        <w:t>项目</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Times New Roman" w:hAnsi="Times New Roman" w:cs="Times New Roman"/>
          <w:kern w:val="0"/>
          <w:sz w:val="32"/>
          <w:szCs w:val="32"/>
          <w:lang w:eastAsia="zh-CN"/>
        </w:rPr>
        <w:t>业务装备费</w:t>
      </w:r>
      <w:r>
        <w:rPr>
          <w:rFonts w:hint="eastAsia" w:ascii="宋体" w:hAnsi="宋体" w:eastAsia="宋体" w:cs="宋体"/>
          <w:kern w:val="0"/>
          <w:sz w:val="32"/>
          <w:szCs w:val="32"/>
        </w:rPr>
        <w:t>项目</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、等</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2</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个项目开展了部门评价（此处即为重点评价内容），涉及一般公共预算支出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330.56</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万元，政府性基金支出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万元。其中，对</w:t>
      </w:r>
      <w:r>
        <w:rPr>
          <w:rFonts w:hint="default" w:ascii="Times New Roman" w:hAnsi="Times New Roman" w:eastAsia="宋体" w:cs="Times New Roman"/>
          <w:kern w:val="0"/>
          <w:sz w:val="32"/>
          <w:szCs w:val="32"/>
        </w:rPr>
        <w:t>“</w:t>
      </w:r>
      <w:r>
        <w:rPr>
          <w:rFonts w:hint="eastAsia" w:ascii="Times New Roman" w:hAnsi="Times New Roman" w:cs="Times New Roman"/>
          <w:kern w:val="0"/>
          <w:sz w:val="32"/>
          <w:szCs w:val="32"/>
          <w:lang w:eastAsia="zh-CN"/>
        </w:rPr>
        <w:t>办案业务费</w:t>
      </w:r>
      <w:r>
        <w:rPr>
          <w:rFonts w:hint="eastAsia" w:ascii="宋体" w:hAnsi="宋体" w:eastAsia="宋体" w:cs="宋体"/>
          <w:kern w:val="0"/>
          <w:sz w:val="32"/>
          <w:szCs w:val="32"/>
        </w:rPr>
        <w:t>项目</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Times New Roman" w:hAnsi="Times New Roman" w:cs="Times New Roman"/>
          <w:kern w:val="0"/>
          <w:sz w:val="32"/>
          <w:szCs w:val="32"/>
          <w:lang w:eastAsia="zh-CN"/>
        </w:rPr>
        <w:t>业务装备费</w:t>
      </w:r>
      <w:r>
        <w:rPr>
          <w:rFonts w:hint="eastAsia" w:ascii="宋体" w:hAnsi="宋体" w:eastAsia="宋体" w:cs="宋体"/>
          <w:kern w:val="0"/>
          <w:sz w:val="32"/>
          <w:szCs w:val="32"/>
        </w:rPr>
        <w:t>项目</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分别委托相关第三方机构开展绩效评价。</w:t>
      </w:r>
    </w:p>
    <w:p>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（二）部门决算中项目绩效自评结果。</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元宝山区人民检察院部门2022年度在决算中反映</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2</w:t>
      </w:r>
      <w:r>
        <w:rPr>
          <w:rFonts w:hint="eastAsia" w:ascii="宋体" w:hAnsi="宋体" w:eastAsia="宋体" w:cs="宋体"/>
          <w:kern w:val="0"/>
          <w:sz w:val="32"/>
          <w:szCs w:val="32"/>
        </w:rPr>
        <w:t>个一般公共预算项目，以及</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个政府性基金项目，共</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2</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个项目的绩效自评结果。</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Times New Roman" w:hAnsi="Times New Roman" w:cs="Times New Roman"/>
          <w:kern w:val="0"/>
          <w:sz w:val="32"/>
          <w:szCs w:val="32"/>
          <w:lang w:eastAsia="zh-CN"/>
        </w:rPr>
        <w:t>办案业务费</w:t>
      </w:r>
      <w:r>
        <w:rPr>
          <w:rFonts w:hint="eastAsia" w:ascii="宋体" w:hAnsi="宋体" w:eastAsia="宋体" w:cs="宋体"/>
          <w:kern w:val="0"/>
          <w:sz w:val="32"/>
          <w:szCs w:val="32"/>
        </w:rPr>
        <w:t>项目自评综述：根据年初设定的绩效目标，项目自评得分</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90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分。全年预算数为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320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万元，执行数为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268</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83</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2.</w:t>
      </w:r>
      <w:r>
        <w:rPr>
          <w:rFonts w:hint="eastAsia" w:ascii="Times New Roman" w:hAnsi="Times New Roman" w:cs="Times New Roman"/>
          <w:kern w:val="0"/>
          <w:sz w:val="32"/>
          <w:szCs w:val="32"/>
          <w:lang w:eastAsia="zh-CN"/>
        </w:rPr>
        <w:t>业务装备费</w:t>
      </w:r>
      <w:r>
        <w:rPr>
          <w:rFonts w:hint="eastAsia" w:ascii="宋体" w:hAnsi="宋体" w:eastAsia="宋体" w:cs="宋体"/>
          <w:kern w:val="0"/>
          <w:sz w:val="32"/>
          <w:szCs w:val="32"/>
        </w:rPr>
        <w:t>项目自评综述：根据年初设定的绩效目标，项目自评得分</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80</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分。全年预算数为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115</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万元，执行数为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62</w:t>
      </w:r>
      <w:r>
        <w:rPr>
          <w:rFonts w:hint="default" w:ascii="Times New Roman" w:hAnsi="Times New Roman" w:eastAsia="宋体" w:cs="Times New Roman"/>
          <w:kern w:val="0"/>
          <w:sz w:val="32"/>
          <w:szCs w:val="32"/>
          <w:u w:val="single"/>
        </w:rPr>
        <w:t xml:space="preserve"> </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54</w:t>
      </w:r>
      <w:r>
        <w:rPr>
          <w:rFonts w:hint="eastAsia" w:ascii="宋体" w:hAnsi="宋体" w:eastAsia="宋体" w:cs="宋体"/>
          <w:kern w:val="0"/>
          <w:sz w:val="32"/>
          <w:szCs w:val="32"/>
        </w:rPr>
        <w:t>%。</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p>
    <w:p>
      <w:pPr>
        <w:keepNext w:val="0"/>
        <w:keepLines w:val="0"/>
        <w:widowControl/>
        <w:suppressLineNumbers w:val="0"/>
        <w:spacing w:before="0" w:beforeAutospacing="1" w:after="0" w:afterAutospacing="1"/>
        <w:ind w:left="0" w:righ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（三）部门项目绩效评价结果。</w:t>
      </w:r>
    </w:p>
    <w:p>
      <w:pPr>
        <w:keepNext w:val="0"/>
        <w:keepLines w:val="0"/>
        <w:widowControl/>
        <w:suppressLineNumbers w:val="0"/>
        <w:spacing w:before="0" w:beforeAutospacing="1" w:after="0" w:afterAutospacing="1"/>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以</w:t>
      </w:r>
      <w:r>
        <w:rPr>
          <w:rFonts w:hint="eastAsia" w:ascii="Times New Roman" w:hAnsi="Times New Roman" w:cs="Times New Roman"/>
          <w:kern w:val="0"/>
          <w:sz w:val="32"/>
          <w:szCs w:val="32"/>
          <w:lang w:eastAsia="zh-CN"/>
        </w:rPr>
        <w:t>办案业务费</w:t>
      </w:r>
      <w:r>
        <w:rPr>
          <w:rFonts w:hint="eastAsia" w:ascii="宋体" w:hAnsi="宋体" w:eastAsia="宋体" w:cs="宋体"/>
          <w:kern w:val="0"/>
          <w:sz w:val="32"/>
          <w:szCs w:val="32"/>
        </w:rPr>
        <w:t>项目为例，该项目绩效评价综合得分为</w:t>
      </w:r>
      <w:r>
        <w:rPr>
          <w:rFonts w:hint="default" w:ascii="Times New Roman" w:hAnsi="Times New Roman" w:eastAsia="宋体" w:cs="Times New Roman"/>
          <w:kern w:val="0"/>
          <w:sz w:val="32"/>
          <w:szCs w:val="32"/>
          <w:u w:val="single"/>
        </w:rPr>
        <w:t xml:space="preserve">    </w:t>
      </w:r>
      <w:r>
        <w:rPr>
          <w:rFonts w:hint="eastAsia" w:ascii="Times New Roman" w:hAnsi="Times New Roman" w:cs="Times New Roman"/>
          <w:kern w:val="0"/>
          <w:sz w:val="32"/>
          <w:szCs w:val="32"/>
          <w:u w:val="single"/>
          <w:lang w:val="en-US" w:eastAsia="zh-CN"/>
        </w:rPr>
        <w:t>90</w:t>
      </w:r>
      <w:r>
        <w:rPr>
          <w:rFonts w:hint="eastAsia" w:ascii="宋体" w:hAnsi="宋体" w:eastAsia="宋体" w:cs="宋体"/>
          <w:kern w:val="0"/>
          <w:sz w:val="32"/>
          <w:szCs w:val="32"/>
        </w:rPr>
        <w:t>分，绩效评价结果为</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优</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。重点项目绩效评价得分情况详见部门具体绩效评价结果。</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default" w:ascii="方正小标宋简体" w:hAnsi="方正小标宋简体" w:eastAsia="方正小标宋简体" w:cs="方正小标宋简体"/>
          <w:b/>
          <w:bCs/>
          <w:kern w:val="0"/>
          <w:sz w:val="36"/>
          <w:szCs w:val="36"/>
        </w:rPr>
        <w:t>第三部分  名词解释</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一、财政拨款收入：</w:t>
      </w:r>
      <w:r>
        <w:rPr>
          <w:rFonts w:hint="eastAsia" w:ascii="宋体" w:hAnsi="宋体" w:eastAsia="宋体" w:cs="宋体"/>
          <w:kern w:val="0"/>
          <w:sz w:val="32"/>
          <w:szCs w:val="32"/>
        </w:rPr>
        <w:t>从同级财政部门取得的各类财政拨款，包括一般公共预算财政拨款、政府性基金预算财政拨款、国有资本经营预算财政拨款。</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二、上级补助收入：</w:t>
      </w:r>
      <w:r>
        <w:rPr>
          <w:rFonts w:hint="eastAsia" w:ascii="宋体" w:hAnsi="宋体" w:eastAsia="宋体" w:cs="宋体"/>
          <w:kern w:val="0"/>
          <w:sz w:val="32"/>
          <w:szCs w:val="32"/>
        </w:rPr>
        <w:t>指事业单位从主管部门和上级单位取得的非财政补助收入。</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三、财政专户管理教育收费：</w:t>
      </w:r>
      <w:r>
        <w:rPr>
          <w:rFonts w:hint="eastAsia" w:ascii="宋体" w:hAnsi="宋体" w:eastAsia="宋体" w:cs="宋体"/>
          <w:kern w:val="0"/>
          <w:sz w:val="32"/>
          <w:szCs w:val="32"/>
        </w:rPr>
        <w:t>指缴入财政专户、实行专项管理的高中以上学费、住宿费、高校委托培养费、函大、电大、夜大及短训班培训费等教育收费。</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四、事业收入：</w:t>
      </w:r>
      <w:r>
        <w:rPr>
          <w:rFonts w:hint="eastAsia" w:ascii="宋体" w:hAnsi="宋体" w:eastAsia="宋体" w:cs="宋体"/>
          <w:kern w:val="0"/>
          <w:sz w:val="32"/>
          <w:szCs w:val="32"/>
        </w:rPr>
        <w:t>指事业单位开展专业业务活动及其辅助活动取得的收入。</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五、经营收入：</w:t>
      </w:r>
      <w:r>
        <w:rPr>
          <w:rFonts w:hint="eastAsia" w:ascii="宋体" w:hAnsi="宋体" w:eastAsia="宋体" w:cs="宋体"/>
          <w:kern w:val="0"/>
          <w:sz w:val="32"/>
          <w:szCs w:val="32"/>
        </w:rPr>
        <w:t>指事业单位在专业业务活动及其辅助活动之外开展非独立核算经营活动取得的收入。</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六、附属单位上缴收入：</w:t>
      </w:r>
      <w:r>
        <w:rPr>
          <w:rFonts w:hint="eastAsia" w:ascii="宋体" w:hAnsi="宋体" w:eastAsia="宋体" w:cs="宋体"/>
          <w:kern w:val="0"/>
          <w:sz w:val="32"/>
          <w:szCs w:val="32"/>
        </w:rPr>
        <w:t>指事业单位附属独立核算单位按照有关规定上缴的收入。</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七、其他收入：</w:t>
      </w:r>
      <w:r>
        <w:rPr>
          <w:rFonts w:hint="eastAsia" w:ascii="宋体" w:hAnsi="宋体" w:eastAsia="宋体" w:cs="宋体"/>
          <w:kern w:val="0"/>
          <w:sz w:val="32"/>
          <w:szCs w:val="32"/>
        </w:rPr>
        <w:t>取得的除上述</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财政拨款收入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上级补助收入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事业收入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经营收入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附属单位上缴收入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等以外的各项收入。</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八、使用非财政拨款结余：</w:t>
      </w:r>
      <w:r>
        <w:rPr>
          <w:rFonts w:hint="eastAsia" w:ascii="宋体" w:hAnsi="宋体" w:eastAsia="宋体" w:cs="宋体"/>
          <w:kern w:val="0"/>
          <w:sz w:val="32"/>
          <w:szCs w:val="32"/>
        </w:rPr>
        <w:t>指事业单位按照预算管理要求使用非财政拨款结余弥补当年收支差额的数额。</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九、年初结转和结余：</w:t>
      </w:r>
      <w:r>
        <w:rPr>
          <w:rFonts w:hint="eastAsia" w:ascii="宋体" w:hAnsi="宋体" w:eastAsia="宋体" w:cs="宋体"/>
          <w:kern w:val="0"/>
          <w:sz w:val="32"/>
          <w:szCs w:val="32"/>
        </w:rPr>
        <w:t>指单位上年结转本年使用的基本支出结转、项目支出结转和结余、经营结余。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十、结余分配：</w:t>
      </w:r>
      <w:r>
        <w:rPr>
          <w:rFonts w:hint="eastAsia" w:ascii="宋体" w:hAnsi="宋体" w:eastAsia="宋体" w:cs="宋体"/>
          <w:kern w:val="0"/>
          <w:sz w:val="32"/>
          <w:szCs w:val="32"/>
        </w:rPr>
        <w:t>指事业单位按规定缴纳的所得税以及从非财政拨款结余中提取各类结余的情况。</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十一、年末结转和结余资金：</w:t>
      </w:r>
      <w:r>
        <w:rPr>
          <w:rFonts w:hint="eastAsia" w:ascii="宋体" w:hAnsi="宋体" w:eastAsia="宋体" w:cs="宋体"/>
          <w:kern w:val="0"/>
          <w:sz w:val="32"/>
          <w:szCs w:val="32"/>
        </w:rPr>
        <w:t>指单位结转下年的基本支出结转、项目支出结转和结余、经营结余。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十二、基本支出：</w:t>
      </w:r>
      <w:r>
        <w:rPr>
          <w:rFonts w:hint="eastAsia" w:ascii="宋体" w:hAnsi="宋体" w:eastAsia="宋体" w:cs="宋体"/>
          <w:kern w:val="0"/>
          <w:sz w:val="32"/>
          <w:szCs w:val="32"/>
        </w:rPr>
        <w:t>指为保障机构正常运转、完成日常工作任务所发生的支出，包括人员经费和公用经费。</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十三、项目支出：</w:t>
      </w:r>
      <w:r>
        <w:rPr>
          <w:rFonts w:hint="eastAsia" w:ascii="宋体" w:hAnsi="宋体" w:eastAsia="宋体" w:cs="宋体"/>
          <w:kern w:val="0"/>
          <w:sz w:val="32"/>
          <w:szCs w:val="32"/>
        </w:rPr>
        <w:t>指在为完成特定的工作任务和事业发展目标所发生的支出。</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十四、上缴上级支出：</w:t>
      </w:r>
      <w:r>
        <w:rPr>
          <w:rFonts w:hint="eastAsia" w:ascii="宋体" w:hAnsi="宋体" w:eastAsia="宋体" w:cs="宋体"/>
          <w:kern w:val="0"/>
          <w:sz w:val="32"/>
          <w:szCs w:val="32"/>
        </w:rPr>
        <w:t>指事业单位按照财政部门和主管部门的规定上缴上级单位的支出。</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十五、经营支出：</w:t>
      </w:r>
      <w:r>
        <w:rPr>
          <w:rFonts w:hint="eastAsia" w:ascii="宋体" w:hAnsi="宋体" w:eastAsia="宋体" w:cs="宋体"/>
          <w:kern w:val="0"/>
          <w:sz w:val="32"/>
          <w:szCs w:val="32"/>
        </w:rPr>
        <w:t>指事业单位在专业业务活动及其辅助活动之外开展非独立核算经营活动发生的支出。</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十六、对附属单位补助支出：</w:t>
      </w:r>
      <w:r>
        <w:rPr>
          <w:rFonts w:hint="eastAsia" w:ascii="宋体" w:hAnsi="宋体" w:eastAsia="宋体" w:cs="宋体"/>
          <w:kern w:val="0"/>
          <w:sz w:val="32"/>
          <w:szCs w:val="32"/>
        </w:rPr>
        <w:t>指事业单位用财政拨款收入之外的收入对附属单位补助发生的支出。</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十七、</w:t>
      </w:r>
      <w:r>
        <w:rPr>
          <w:rFonts w:hint="default" w:ascii="Times New Roman" w:hAnsi="Times New Roman" w:eastAsia="宋体" w:cs="Times New Roman"/>
          <w:b/>
          <w:bCs/>
          <w:kern w:val="0"/>
          <w:sz w:val="32"/>
          <w:szCs w:val="32"/>
        </w:rPr>
        <w:t>“</w:t>
      </w:r>
      <w:r>
        <w:rPr>
          <w:rFonts w:hint="eastAsia" w:ascii="宋体" w:hAnsi="宋体" w:eastAsia="宋体" w:cs="宋体"/>
          <w:b/>
          <w:bCs/>
          <w:kern w:val="0"/>
          <w:sz w:val="32"/>
          <w:szCs w:val="32"/>
        </w:rPr>
        <w:t>三公</w:t>
      </w:r>
      <w:r>
        <w:rPr>
          <w:rFonts w:hint="default" w:ascii="Times New Roman" w:hAnsi="Times New Roman" w:eastAsia="宋体" w:cs="Times New Roman"/>
          <w:b/>
          <w:bCs/>
          <w:kern w:val="0"/>
          <w:sz w:val="32"/>
          <w:szCs w:val="32"/>
        </w:rPr>
        <w:t>”</w:t>
      </w:r>
      <w:r>
        <w:rPr>
          <w:rFonts w:hint="eastAsia" w:ascii="宋体" w:hAnsi="宋体" w:eastAsia="宋体" w:cs="宋体"/>
          <w:b/>
          <w:bCs/>
          <w:kern w:val="0"/>
          <w:sz w:val="32"/>
          <w:szCs w:val="32"/>
        </w:rPr>
        <w:t>经费：</w:t>
      </w:r>
      <w:r>
        <w:rPr>
          <w:rFonts w:hint="eastAsia" w:ascii="宋体" w:hAnsi="宋体" w:eastAsia="宋体" w:cs="宋体"/>
          <w:kern w:val="0"/>
          <w:sz w:val="32"/>
          <w:szCs w:val="32"/>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pPr>
        <w:keepNext w:val="0"/>
        <w:keepLines w:val="0"/>
        <w:widowControl/>
        <w:suppressLineNumbers w:val="0"/>
        <w:spacing w:before="0" w:beforeAutospacing="1" w:after="0" w:afterAutospacing="1" w:line="560" w:lineRule="atLeast"/>
        <w:ind w:left="0" w:righ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十八、机构运行经费：</w:t>
      </w:r>
      <w:r>
        <w:rPr>
          <w:rFonts w:hint="eastAsia" w:ascii="宋体" w:hAnsi="宋体" w:eastAsia="宋体" w:cs="宋体"/>
          <w:kern w:val="0"/>
          <w:sz w:val="32"/>
          <w:szCs w:val="32"/>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default" w:ascii="方正小标宋简体" w:hAnsi="方正小标宋简体" w:eastAsia="方正小标宋简体" w:cs="方正小标宋简体"/>
          <w:b/>
          <w:bCs/>
          <w:kern w:val="0"/>
          <w:sz w:val="36"/>
          <w:szCs w:val="36"/>
        </w:rPr>
        <w:t>第四部分 决算公开联系方式及信息反馈渠道</w:t>
      </w:r>
    </w:p>
    <w:p>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widowControl/>
        <w:suppressLineNumbers w:val="0"/>
        <w:spacing w:before="0" w:beforeAutospacing="1" w:after="0" w:afterAutospacing="1" w:line="60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本单位决算公开信息反馈和联系方式：</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32"/>
          <w:szCs w:val="32"/>
        </w:rPr>
        <w:t>联系人：王超        联系电话：0476-3535575</w:t>
      </w:r>
    </w:p>
    <w:p>
      <w:pPr>
        <w:keepNext w:val="0"/>
        <w:keepLines w:val="0"/>
        <w:widowControl/>
        <w:suppressLineNumbers w:val="0"/>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pStyle w:val="3"/>
        <w:keepNext/>
        <w:keepLines w:val="0"/>
        <w:widowControl/>
        <w:suppressLineNumbers w:val="0"/>
        <w:spacing w:line="360" w:lineRule="auto"/>
        <w:jc w:val="center"/>
        <w:rPr>
          <w:rFonts w:hint="eastAsia" w:ascii="宋体" w:hAnsi="宋体" w:eastAsia="宋体" w:cs="宋体"/>
          <w:b/>
          <w:bCs/>
          <w:kern w:val="0"/>
          <w:sz w:val="36"/>
          <w:szCs w:val="36"/>
        </w:rPr>
      </w:pPr>
      <w:r>
        <w:rPr>
          <w:rFonts w:hint="default" w:ascii="方正小标宋简体" w:hAnsi="方正小标宋简体" w:eastAsia="方正小标宋简体" w:cs="方正小标宋简体"/>
          <w:b/>
          <w:bCs/>
          <w:kern w:val="0"/>
          <w:sz w:val="36"/>
          <w:szCs w:val="36"/>
        </w:rPr>
        <w:t>第五部分 2022年度部门决算表</w:t>
      </w:r>
    </w:p>
    <w:p>
      <w:pPr>
        <w:keepNext w:val="0"/>
        <w:keepLines w:val="0"/>
        <w:widowControl/>
        <w:suppressLineNumbers w:val="0"/>
        <w:spacing w:before="0" w:beforeAutospacing="1" w:after="0" w:afterAutospacing="1" w:line="600" w:lineRule="atLeast"/>
        <w:ind w:left="0" w:right="0"/>
        <w:jc w:val="both"/>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widowControl/>
        <w:suppressLineNumbers w:val="0"/>
        <w:spacing w:before="0" w:beforeAutospacing="1" w:after="0" w:afterAutospacing="1" w:line="60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详见附件。</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32"/>
          <w:szCs w:val="32"/>
        </w:rPr>
        <w:t xml:space="preserve"> </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32"/>
          <w:szCs w:val="32"/>
        </w:rPr>
        <w:t xml:space="preserve"> </w:t>
      </w:r>
    </w:p>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2445F"/>
    <w:multiLevelType w:val="singleLevel"/>
    <w:tmpl w:val="9122445F"/>
    <w:lvl w:ilvl="0" w:tentative="0">
      <w:start w:val="1"/>
      <w:numFmt w:val="decimal"/>
      <w:suff w:val="nothing"/>
      <w:lvlText w:val="%1．"/>
      <w:lvlJc w:val="left"/>
    </w:lvl>
  </w:abstractNum>
  <w:abstractNum w:abstractNumId="1">
    <w:nsid w:val="960457A2"/>
    <w:multiLevelType w:val="multilevel"/>
    <w:tmpl w:val="960457A2"/>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A260B56"/>
    <w:multiLevelType w:val="singleLevel"/>
    <w:tmpl w:val="AA260B56"/>
    <w:lvl w:ilvl="0" w:tentative="0">
      <w:start w:val="1"/>
      <w:numFmt w:val="decimal"/>
      <w:suff w:val="nothing"/>
      <w:lvlText w:val="%1．"/>
      <w:lvlJc w:val="left"/>
    </w:lvl>
  </w:abstractNum>
  <w:abstractNum w:abstractNumId="3">
    <w:nsid w:val="E3275377"/>
    <w:multiLevelType w:val="singleLevel"/>
    <w:tmpl w:val="E327537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WNkZmMyNDg0ZjhhNTg2OWJjODQ0NzA1ZDUxYWYifQ=="/>
  </w:docVars>
  <w:rsids>
    <w:rsidRoot w:val="512643B8"/>
    <w:rsid w:val="006A211D"/>
    <w:rsid w:val="12066DC8"/>
    <w:rsid w:val="5126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5">
    <w:name w:val="footnote text"/>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6">
    <w:name w:val="Body Text First Indent 2"/>
    <w:basedOn w:val="4"/>
    <w:next w:val="1"/>
    <w:qFormat/>
    <w:uiPriority w:val="0"/>
    <w:pPr>
      <w:spacing w:before="0" w:beforeAutospacing="0" w:after="0" w:afterAutospacing="0"/>
      <w:ind w:left="420" w:leftChars="200" w:right="0" w:firstLine="420" w:firstLineChars="200"/>
      <w:jc w:val="left"/>
    </w:pPr>
    <w:rPr>
      <w:rFonts w:hint="eastAsia" w:ascii="宋体" w:hAnsi="宋体" w:eastAsia="宋体" w:cs="宋体"/>
      <w:kern w:val="0"/>
      <w:sz w:val="24"/>
      <w:szCs w:val="24"/>
      <w:lang w:val="en-US" w:eastAsia="zh-CN" w:bidi="ar"/>
    </w:rPr>
  </w:style>
  <w:style w:type="paragraph" w:customStyle="1" w:styleId="9">
    <w:name w:val="正文1"/>
    <w:basedOn w:val="1"/>
    <w:qFormat/>
    <w:uiPriority w:val="0"/>
    <w:pPr>
      <w:spacing w:before="0" w:beforeAutospacing="0" w:after="0" w:afterAutospacing="0"/>
      <w:ind w:left="0" w:right="0"/>
      <w:jc w:val="both"/>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11281</Words>
  <Characters>12101</Characters>
  <Lines>0</Lines>
  <Paragraphs>0</Paragraphs>
  <TotalTime>3</TotalTime>
  <ScaleCrop>false</ScaleCrop>
  <LinksUpToDate>false</LinksUpToDate>
  <CharactersWithSpaces>12412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2023-08-29T14:07:00Z</dcterms:created>
  <dc:creator>Administrator</dc:creator>
  <cp:lastModifiedBy>Administrator</cp:lastModifiedBy>
  <dcterms:modified xsi:type="dcterms:W3CDTF">2023-08-30T06:43:00Z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8914C251444449BA839CEB1266CE3B75</vt:lpwstr>
  </property>
</Properties>
</file>